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65C9" w14:textId="77777777" w:rsidR="00E32DEE" w:rsidRDefault="00892553" w:rsidP="00892553">
      <w:pPr>
        <w:pStyle w:val="Title"/>
        <w:rPr>
          <w:rFonts w:ascii="Arial" w:hAnsi="Arial" w:cs="Arial"/>
          <w:sz w:val="72"/>
          <w:szCs w:val="72"/>
        </w:rPr>
      </w:pPr>
      <w:r w:rsidRPr="00454A60">
        <w:rPr>
          <w:rFonts w:ascii="Arial" w:hAnsi="Arial" w:cs="Arial"/>
          <w:sz w:val="72"/>
          <w:szCs w:val="72"/>
        </w:rPr>
        <w:t xml:space="preserve">Tourism Forecasts </w:t>
      </w:r>
    </w:p>
    <w:p w14:paraId="79938773" w14:textId="7A68910C" w:rsidR="00892553" w:rsidRPr="00454A60" w:rsidRDefault="00AF22E8" w:rsidP="00892553">
      <w:pPr>
        <w:pStyle w:val="Title"/>
        <w:rPr>
          <w:rFonts w:ascii="Arial" w:hAnsi="Arial" w:cs="Arial"/>
          <w:sz w:val="72"/>
          <w:szCs w:val="72"/>
        </w:rPr>
      </w:pPr>
      <w:r w:rsidRPr="00454A60">
        <w:rPr>
          <w:rFonts w:ascii="Arial" w:hAnsi="Arial" w:cs="Arial"/>
          <w:sz w:val="72"/>
          <w:szCs w:val="72"/>
        </w:rPr>
        <w:t>2024-2029</w:t>
      </w:r>
    </w:p>
    <w:p w14:paraId="2BC03320" w14:textId="77777777" w:rsidR="00892553" w:rsidRPr="00AF22E8" w:rsidRDefault="00892553" w:rsidP="00892553">
      <w:pPr>
        <w:pStyle w:val="NoSpacing"/>
        <w:rPr>
          <w:rFonts w:ascii="Arial" w:hAnsi="Arial" w:cs="Arial"/>
        </w:rPr>
      </w:pPr>
    </w:p>
    <w:p w14:paraId="07761F48" w14:textId="3C424A14" w:rsidR="00892553" w:rsidRPr="00454A60" w:rsidRDefault="00802ED1" w:rsidP="00892553">
      <w:pPr>
        <w:pStyle w:val="Subtitle"/>
        <w:rPr>
          <w:rFonts w:ascii="Arial" w:hAnsi="Arial" w:cs="Arial"/>
          <w:sz w:val="22"/>
          <w:szCs w:val="22"/>
        </w:rPr>
      </w:pPr>
      <w:r w:rsidRPr="00802ED1">
        <w:rPr>
          <w:rFonts w:ascii="Arial" w:hAnsi="Arial" w:cs="Arial"/>
          <w:sz w:val="22"/>
          <w:szCs w:val="22"/>
        </w:rPr>
        <w:t>Data based on Tourism forecasts for Australia: 2024 to 2029, Tourism Research Australia, Austrade, Canberra</w:t>
      </w:r>
      <w:r w:rsidR="00892553" w:rsidRPr="00454A60">
        <w:rPr>
          <w:rFonts w:ascii="Arial" w:hAnsi="Arial" w:cs="Arial"/>
          <w:sz w:val="22"/>
          <w:szCs w:val="22"/>
        </w:rPr>
        <w:t>.</w:t>
      </w:r>
    </w:p>
    <w:p w14:paraId="599AB9AA" w14:textId="2BD58C9F" w:rsidR="00892553" w:rsidRPr="00454A60" w:rsidRDefault="00FD141D" w:rsidP="00892553">
      <w:pPr>
        <w:pStyle w:val="Subtitle"/>
        <w:rPr>
          <w:rFonts w:ascii="Arial" w:hAnsi="Arial" w:cs="Arial"/>
          <w:sz w:val="22"/>
          <w:szCs w:val="22"/>
        </w:rPr>
      </w:pPr>
      <w:r w:rsidRPr="00FD141D">
        <w:rPr>
          <w:rFonts w:ascii="Arial" w:hAnsi="Arial" w:cs="Arial"/>
          <w:sz w:val="22"/>
          <w:szCs w:val="22"/>
        </w:rPr>
        <w:t>Report produced by the Tourism and Events Research team. Victorian projections for spend and visitors are derived by the Tourism and Events Research team by applying Tourism Research Australia's national growth rates to Victorian estimates</w:t>
      </w:r>
      <w:r w:rsidR="00892553" w:rsidRPr="00454A60">
        <w:rPr>
          <w:rFonts w:ascii="Arial" w:hAnsi="Arial" w:cs="Arial"/>
          <w:sz w:val="22"/>
          <w:szCs w:val="22"/>
        </w:rPr>
        <w:t>.</w:t>
      </w:r>
      <w:r w:rsidR="00197330">
        <w:rPr>
          <w:rFonts w:ascii="Arial" w:hAnsi="Arial" w:cs="Arial"/>
          <w:sz w:val="22"/>
          <w:szCs w:val="22"/>
        </w:rPr>
        <w:t xml:space="preserve"> Released December 2024.</w:t>
      </w:r>
    </w:p>
    <w:p w14:paraId="5B9D4E40" w14:textId="77777777" w:rsidR="00B75749" w:rsidRDefault="00892553" w:rsidP="00160471">
      <w:pPr>
        <w:pStyle w:val="Heading1"/>
        <w:spacing w:line="24" w:lineRule="atLeast"/>
        <w:rPr>
          <w:noProof/>
        </w:rPr>
      </w:pPr>
      <w:bookmarkStart w:id="0" w:name="_Toc133227909"/>
      <w:bookmarkStart w:id="1" w:name="_Toc133231686"/>
      <w:bookmarkStart w:id="2" w:name="_Toc135746372"/>
      <w:bookmarkStart w:id="3" w:name="_Toc135763755"/>
      <w:bookmarkStart w:id="4" w:name="_Toc135764030"/>
      <w:bookmarkStart w:id="5" w:name="_Toc135764665"/>
      <w:bookmarkStart w:id="6" w:name="_Toc135764899"/>
      <w:bookmarkStart w:id="7" w:name="_Toc136002061"/>
      <w:bookmarkStart w:id="8" w:name="_Toc136012317"/>
      <w:bookmarkStart w:id="9" w:name="_Toc144478841"/>
      <w:bookmarkStart w:id="10" w:name="_Toc144480056"/>
      <w:bookmarkStart w:id="11" w:name="_Toc144721997"/>
      <w:bookmarkStart w:id="12" w:name="_Toc144722282"/>
      <w:bookmarkStart w:id="13" w:name="_Toc149060187"/>
      <w:bookmarkStart w:id="14" w:name="_Toc152246018"/>
      <w:bookmarkStart w:id="15" w:name="_Toc152570974"/>
      <w:bookmarkStart w:id="16" w:name="_Toc152571195"/>
      <w:bookmarkStart w:id="17" w:name="_Toc183430044"/>
      <w:bookmarkStart w:id="18" w:name="_Toc184115872"/>
      <w:bookmarkStart w:id="19" w:name="_Toc184116511"/>
      <w:r w:rsidRPr="00AF22E8">
        <w:rPr>
          <w:rFonts w:ascii="Arial" w:hAnsi="Arial" w:cs="Arial"/>
        </w:rPr>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AF22E8">
        <w:rPr>
          <w:rFonts w:ascii="Arial" w:hAnsi="Arial" w:cs="Arial"/>
          <w:color w:val="538135" w:themeColor="accent6" w:themeShade="BF"/>
        </w:rPr>
        <w:fldChar w:fldCharType="begin"/>
      </w:r>
      <w:r w:rsidRPr="00AF22E8">
        <w:rPr>
          <w:rFonts w:ascii="Arial" w:hAnsi="Arial" w:cs="Arial"/>
        </w:rPr>
        <w:instrText xml:space="preserve"> TOC \o "1-2" \h \z \u </w:instrText>
      </w:r>
      <w:r w:rsidRPr="00AF22E8">
        <w:rPr>
          <w:rFonts w:ascii="Arial" w:hAnsi="Arial" w:cs="Arial"/>
          <w:color w:val="538135" w:themeColor="accent6" w:themeShade="BF"/>
        </w:rPr>
        <w:fldChar w:fldCharType="separate"/>
      </w:r>
    </w:p>
    <w:p w14:paraId="0C1F4798" w14:textId="332485CF"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12" w:history="1">
        <w:r w:rsidRPr="000B3465">
          <w:rPr>
            <w:rStyle w:val="Hyperlink"/>
            <w:rFonts w:ascii="Arial" w:hAnsi="Arial" w:cs="Arial"/>
            <w:noProof/>
          </w:rPr>
          <w:t>1.0 Summary results</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_Toc184116512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2</w:t>
        </w:r>
        <w:r w:rsidRPr="000B3465">
          <w:rPr>
            <w:rFonts w:ascii="Arial" w:hAnsi="Arial" w:cs="Arial"/>
            <w:noProof/>
            <w:webHidden/>
          </w:rPr>
          <w:fldChar w:fldCharType="end"/>
        </w:r>
      </w:hyperlink>
    </w:p>
    <w:p w14:paraId="270A5C06" w14:textId="56743B9D"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13" w:history="1">
        <w:r w:rsidRPr="000B3465">
          <w:rPr>
            <w:rStyle w:val="Hyperlink"/>
            <w:rFonts w:ascii="Arial" w:hAnsi="Arial" w:cs="Arial"/>
            <w:noProof/>
          </w:rPr>
          <w:t>2.0 Future tourism spend in Victoria</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_Toc184116513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2</w:t>
        </w:r>
        <w:r w:rsidRPr="000B3465">
          <w:rPr>
            <w:rFonts w:ascii="Arial" w:hAnsi="Arial" w:cs="Arial"/>
            <w:noProof/>
            <w:webHidden/>
          </w:rPr>
          <w:fldChar w:fldCharType="end"/>
        </w:r>
      </w:hyperlink>
    </w:p>
    <w:p w14:paraId="537928CC" w14:textId="14F7C4B8"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14" w:history="1">
        <w:r w:rsidRPr="000B3465">
          <w:rPr>
            <w:rStyle w:val="Hyperlink"/>
            <w:rFonts w:ascii="Arial" w:hAnsi="Arial" w:cs="Arial"/>
            <w:noProof/>
          </w:rPr>
          <w:t>2.1 Data table: Actual and projected nominal visitor expenditure in Victoria from 2019 to 2029.</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_Toc184116514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3</w:t>
        </w:r>
        <w:r w:rsidRPr="000B3465">
          <w:rPr>
            <w:rFonts w:ascii="Arial" w:hAnsi="Arial" w:cs="Arial"/>
            <w:noProof/>
            <w:webHidden/>
          </w:rPr>
          <w:fldChar w:fldCharType="end"/>
        </w:r>
      </w:hyperlink>
    </w:p>
    <w:p w14:paraId="6A1EF30C" w14:textId="14C54626"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15" w:history="1">
        <w:r w:rsidRPr="000B3465">
          <w:rPr>
            <w:rStyle w:val="Hyperlink"/>
            <w:rFonts w:ascii="Arial" w:hAnsi="Arial" w:cs="Arial"/>
            <w:noProof/>
          </w:rPr>
          <w:t>3.0 Tourism spend forecasts for Victoria</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_Toc184116515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3</w:t>
        </w:r>
        <w:r w:rsidRPr="000B3465">
          <w:rPr>
            <w:rFonts w:ascii="Arial" w:hAnsi="Arial" w:cs="Arial"/>
            <w:noProof/>
            <w:webHidden/>
          </w:rPr>
          <w:fldChar w:fldCharType="end"/>
        </w:r>
      </w:hyperlink>
    </w:p>
    <w:p w14:paraId="405F0480" w14:textId="5B3EFB35"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16" w:history="1">
        <w:r w:rsidRPr="000B3465">
          <w:rPr>
            <w:rStyle w:val="Hyperlink"/>
            <w:rFonts w:ascii="Arial" w:hAnsi="Arial" w:cs="Arial"/>
            <w:noProof/>
          </w:rPr>
          <w:t>3.1 Data table: Projected tourism spend in Victoria in 2029 by visitor type</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_Toc184116516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3</w:t>
        </w:r>
        <w:r w:rsidRPr="000B3465">
          <w:rPr>
            <w:rFonts w:ascii="Arial" w:hAnsi="Arial" w:cs="Arial"/>
            <w:noProof/>
            <w:webHidden/>
          </w:rPr>
          <w:fldChar w:fldCharType="end"/>
        </w:r>
      </w:hyperlink>
    </w:p>
    <w:p w14:paraId="183C86FB" w14:textId="752846D9"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17" w:history="1">
        <w:r w:rsidRPr="000B3465">
          <w:rPr>
            <w:rStyle w:val="Hyperlink"/>
            <w:rFonts w:ascii="Arial" w:hAnsi="Arial" w:cs="Arial"/>
            <w:noProof/>
          </w:rPr>
          <w:t>3.2 Data table: Forecast growth rates for tourism spend in Victoria by visitor type</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_Toc184116517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4</w:t>
        </w:r>
        <w:r w:rsidRPr="000B3465">
          <w:rPr>
            <w:rFonts w:ascii="Arial" w:hAnsi="Arial" w:cs="Arial"/>
            <w:noProof/>
            <w:webHidden/>
          </w:rPr>
          <w:fldChar w:fldCharType="end"/>
        </w:r>
      </w:hyperlink>
    </w:p>
    <w:p w14:paraId="651314E9" w14:textId="2BD99217"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18" w:history="1">
        <w:r w:rsidRPr="000B3465">
          <w:rPr>
            <w:rStyle w:val="Hyperlink"/>
            <w:rFonts w:ascii="Arial" w:hAnsi="Arial" w:cs="Arial"/>
            <w:noProof/>
          </w:rPr>
          <w:t>4.0 Visitor forecasts for Victoria</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_Toc184116518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4</w:t>
        </w:r>
        <w:r w:rsidRPr="000B3465">
          <w:rPr>
            <w:rFonts w:ascii="Arial" w:hAnsi="Arial" w:cs="Arial"/>
            <w:noProof/>
            <w:webHidden/>
          </w:rPr>
          <w:fldChar w:fldCharType="end"/>
        </w:r>
      </w:hyperlink>
    </w:p>
    <w:p w14:paraId="281624A9" w14:textId="56CEBA61"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19" w:history="1">
        <w:r w:rsidRPr="000B3465">
          <w:rPr>
            <w:rStyle w:val="Hyperlink"/>
            <w:rFonts w:ascii="Arial" w:hAnsi="Arial" w:cs="Arial"/>
            <w:noProof/>
          </w:rPr>
          <w:t>4.1 Data table: Projected visitors to Victoria in 2029 by visitor type</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_Toc184116519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4</w:t>
        </w:r>
        <w:r w:rsidRPr="000B3465">
          <w:rPr>
            <w:rFonts w:ascii="Arial" w:hAnsi="Arial" w:cs="Arial"/>
            <w:noProof/>
            <w:webHidden/>
          </w:rPr>
          <w:fldChar w:fldCharType="end"/>
        </w:r>
      </w:hyperlink>
    </w:p>
    <w:p w14:paraId="74891E17" w14:textId="14AF96E9"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20" w:history="1">
        <w:r w:rsidRPr="000B3465">
          <w:rPr>
            <w:rStyle w:val="Hyperlink"/>
            <w:rFonts w:ascii="Arial" w:hAnsi="Arial" w:cs="Arial"/>
            <w:noProof/>
          </w:rPr>
          <w:t>4.2 Data table: Actual and projected visitor numbers to Victoria from 2019 to 2029</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_Toc184116520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5</w:t>
        </w:r>
        <w:r w:rsidRPr="000B3465">
          <w:rPr>
            <w:rFonts w:ascii="Arial" w:hAnsi="Arial" w:cs="Arial"/>
            <w:noProof/>
            <w:webHidden/>
          </w:rPr>
          <w:fldChar w:fldCharType="end"/>
        </w:r>
      </w:hyperlink>
    </w:p>
    <w:p w14:paraId="4B54491F" w14:textId="59831F5E"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21" w:history="1">
        <w:r w:rsidRPr="000B3465">
          <w:rPr>
            <w:rStyle w:val="Hyperlink"/>
            <w:rFonts w:ascii="Arial" w:hAnsi="Arial" w:cs="Arial"/>
            <w:noProof/>
          </w:rPr>
          <w:t>5.0 Visitor outlook</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_Toc184116521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5</w:t>
        </w:r>
        <w:r w:rsidRPr="000B3465">
          <w:rPr>
            <w:rFonts w:ascii="Arial" w:hAnsi="Arial" w:cs="Arial"/>
            <w:noProof/>
            <w:webHidden/>
          </w:rPr>
          <w:fldChar w:fldCharType="end"/>
        </w:r>
      </w:hyperlink>
    </w:p>
    <w:p w14:paraId="7B861255" w14:textId="2CDE27F8"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22" w:history="1">
        <w:r w:rsidRPr="000B3465">
          <w:rPr>
            <w:rStyle w:val="Hyperlink"/>
            <w:rFonts w:ascii="Arial" w:hAnsi="Arial" w:cs="Arial"/>
            <w:noProof/>
          </w:rPr>
          <w:t>5.1 Data table: Forecast growth rates for visitors to Victoria by visitor type</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_Toc184116522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6</w:t>
        </w:r>
        <w:r w:rsidRPr="000B3465">
          <w:rPr>
            <w:rFonts w:ascii="Arial" w:hAnsi="Arial" w:cs="Arial"/>
            <w:noProof/>
            <w:webHidden/>
          </w:rPr>
          <w:fldChar w:fldCharType="end"/>
        </w:r>
      </w:hyperlink>
    </w:p>
    <w:p w14:paraId="617A528B" w14:textId="3B81A0FA"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23" w:history="1">
        <w:r w:rsidRPr="000B3465">
          <w:rPr>
            <w:rStyle w:val="Hyperlink"/>
            <w:rFonts w:ascii="Arial" w:hAnsi="Arial" w:cs="Arial"/>
            <w:noProof/>
          </w:rPr>
          <w:t>6.0 Domestic visitor nights forecasts for Victoria</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_Toc184116523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6</w:t>
        </w:r>
        <w:r w:rsidRPr="000B3465">
          <w:rPr>
            <w:rFonts w:ascii="Arial" w:hAnsi="Arial" w:cs="Arial"/>
            <w:noProof/>
            <w:webHidden/>
          </w:rPr>
          <w:fldChar w:fldCharType="end"/>
        </w:r>
      </w:hyperlink>
    </w:p>
    <w:p w14:paraId="2CBD8E84" w14:textId="3DF7CECD"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24" w:history="1">
        <w:r w:rsidRPr="000B3465">
          <w:rPr>
            <w:rStyle w:val="Hyperlink"/>
            <w:rFonts w:ascii="Arial" w:hAnsi="Arial" w:cs="Arial"/>
            <w:noProof/>
          </w:rPr>
          <w:t>6.1 Data table: Forecast growth rates for domestic visitor nights in Victoria by purpose</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_Toc184116524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6</w:t>
        </w:r>
        <w:r w:rsidRPr="000B3465">
          <w:rPr>
            <w:rFonts w:ascii="Arial" w:hAnsi="Arial" w:cs="Arial"/>
            <w:noProof/>
            <w:webHidden/>
          </w:rPr>
          <w:fldChar w:fldCharType="end"/>
        </w:r>
      </w:hyperlink>
    </w:p>
    <w:p w14:paraId="7F1126A1" w14:textId="405BFE6C"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25" w:history="1">
        <w:r w:rsidRPr="000B3465">
          <w:rPr>
            <w:rStyle w:val="Hyperlink"/>
            <w:rFonts w:ascii="Arial" w:hAnsi="Arial" w:cs="Arial"/>
            <w:noProof/>
          </w:rPr>
          <w:t>7.0 Domestic night forecasts across jurisdictions</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_Toc184116525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7</w:t>
        </w:r>
        <w:r w:rsidRPr="000B3465">
          <w:rPr>
            <w:rFonts w:ascii="Arial" w:hAnsi="Arial" w:cs="Arial"/>
            <w:noProof/>
            <w:webHidden/>
          </w:rPr>
          <w:fldChar w:fldCharType="end"/>
        </w:r>
      </w:hyperlink>
    </w:p>
    <w:p w14:paraId="5003F608" w14:textId="3781AB49"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26" w:history="1">
        <w:r w:rsidRPr="000B3465">
          <w:rPr>
            <w:rStyle w:val="Hyperlink"/>
            <w:rFonts w:ascii="Arial" w:hAnsi="Arial" w:cs="Arial"/>
            <w:noProof/>
          </w:rPr>
          <w:t>7.1 Data table: Forecast growth rates for domestic visitor nights by jurisdiction</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_Toc184116526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7</w:t>
        </w:r>
        <w:r w:rsidRPr="000B3465">
          <w:rPr>
            <w:rFonts w:ascii="Arial" w:hAnsi="Arial" w:cs="Arial"/>
            <w:noProof/>
            <w:webHidden/>
          </w:rPr>
          <w:fldChar w:fldCharType="end"/>
        </w:r>
      </w:hyperlink>
    </w:p>
    <w:p w14:paraId="43028160" w14:textId="5C31697A"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27" w:history="1">
        <w:r w:rsidRPr="000B3465">
          <w:rPr>
            <w:rStyle w:val="Hyperlink"/>
            <w:rFonts w:ascii="Arial" w:hAnsi="Arial" w:cs="Arial"/>
            <w:noProof/>
          </w:rPr>
          <w:t>7.2 Data table: Actual and projected domestic nights by jurisdiction from 2019 to 2029</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_Toc184116527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7</w:t>
        </w:r>
        <w:r w:rsidRPr="000B3465">
          <w:rPr>
            <w:rFonts w:ascii="Arial" w:hAnsi="Arial" w:cs="Arial"/>
            <w:noProof/>
            <w:webHidden/>
          </w:rPr>
          <w:fldChar w:fldCharType="end"/>
        </w:r>
      </w:hyperlink>
    </w:p>
    <w:p w14:paraId="522A0C00" w14:textId="4AD56983"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28" w:history="1">
        <w:r w:rsidRPr="000B3465">
          <w:rPr>
            <w:rStyle w:val="Hyperlink"/>
            <w:rFonts w:ascii="Arial" w:hAnsi="Arial" w:cs="Arial"/>
            <w:noProof/>
          </w:rPr>
          <w:t>8.0 International visitor forecasts for Victoria</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_Toc184116528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8</w:t>
        </w:r>
        <w:r w:rsidRPr="000B3465">
          <w:rPr>
            <w:rFonts w:ascii="Arial" w:hAnsi="Arial" w:cs="Arial"/>
            <w:noProof/>
            <w:webHidden/>
          </w:rPr>
          <w:fldChar w:fldCharType="end"/>
        </w:r>
      </w:hyperlink>
    </w:p>
    <w:p w14:paraId="321B4AD2" w14:textId="6F4BED1D"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29" w:history="1">
        <w:r w:rsidRPr="000B3465">
          <w:rPr>
            <w:rStyle w:val="Hyperlink"/>
            <w:rFonts w:ascii="Arial" w:hAnsi="Arial" w:cs="Arial"/>
            <w:noProof/>
          </w:rPr>
          <w:t>8.1 Data table: Actual and projected international visitors to Victoria from 2014 to 2029 by market.</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_Toc184116529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9</w:t>
        </w:r>
        <w:r w:rsidRPr="000B3465">
          <w:rPr>
            <w:rFonts w:ascii="Arial" w:hAnsi="Arial" w:cs="Arial"/>
            <w:noProof/>
            <w:webHidden/>
          </w:rPr>
          <w:fldChar w:fldCharType="end"/>
        </w:r>
      </w:hyperlink>
    </w:p>
    <w:p w14:paraId="5C122691" w14:textId="44984E60"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30" w:history="1">
        <w:r w:rsidRPr="000B3465">
          <w:rPr>
            <w:rStyle w:val="Hyperlink"/>
            <w:rFonts w:ascii="Arial" w:hAnsi="Arial" w:cs="Arial"/>
            <w:noProof/>
          </w:rPr>
          <w:t>9.0 International visitor growth by market</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_Toc184116530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10</w:t>
        </w:r>
        <w:r w:rsidRPr="000B3465">
          <w:rPr>
            <w:rFonts w:ascii="Arial" w:hAnsi="Arial" w:cs="Arial"/>
            <w:noProof/>
            <w:webHidden/>
          </w:rPr>
          <w:fldChar w:fldCharType="end"/>
        </w:r>
      </w:hyperlink>
    </w:p>
    <w:p w14:paraId="3F5E5F12" w14:textId="7F7658C2"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31" w:history="1">
        <w:r w:rsidRPr="000B3465">
          <w:rPr>
            <w:rStyle w:val="Hyperlink"/>
            <w:rFonts w:ascii="Arial" w:hAnsi="Arial" w:cs="Arial"/>
            <w:noProof/>
          </w:rPr>
          <w:t>9.1 Data table: Forecast top 15 international markets to Victoria in 2029 with estimated 2024 and 2029 visitor numbers to Victoria.</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_Toc184116531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10</w:t>
        </w:r>
        <w:r w:rsidRPr="000B3465">
          <w:rPr>
            <w:rFonts w:ascii="Arial" w:hAnsi="Arial" w:cs="Arial"/>
            <w:noProof/>
            <w:webHidden/>
          </w:rPr>
          <w:fldChar w:fldCharType="end"/>
        </w:r>
      </w:hyperlink>
    </w:p>
    <w:p w14:paraId="2271F993" w14:textId="542C594D"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32" w:history="1">
        <w:r w:rsidRPr="000B3465">
          <w:rPr>
            <w:rStyle w:val="Hyperlink"/>
            <w:rFonts w:ascii="Arial" w:hAnsi="Arial" w:cs="Arial"/>
            <w:noProof/>
          </w:rPr>
          <w:t>9.2 Data table: Forecast growth rates for Victoria’s projected top 15 international visitor markets</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_Toc184116532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10</w:t>
        </w:r>
        <w:r w:rsidRPr="000B3465">
          <w:rPr>
            <w:rFonts w:ascii="Arial" w:hAnsi="Arial" w:cs="Arial"/>
            <w:noProof/>
            <w:webHidden/>
          </w:rPr>
          <w:fldChar w:fldCharType="end"/>
        </w:r>
      </w:hyperlink>
    </w:p>
    <w:p w14:paraId="0980538C" w14:textId="51572629"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33" w:history="1">
        <w:r w:rsidRPr="000B3465">
          <w:rPr>
            <w:rStyle w:val="Hyperlink"/>
            <w:rFonts w:ascii="Arial" w:hAnsi="Arial" w:cs="Arial"/>
            <w:noProof/>
          </w:rPr>
          <w:t>10.0 International purpose of visit forecasts</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_Toc184116533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11</w:t>
        </w:r>
        <w:r w:rsidRPr="000B3465">
          <w:rPr>
            <w:rFonts w:ascii="Arial" w:hAnsi="Arial" w:cs="Arial"/>
            <w:noProof/>
            <w:webHidden/>
          </w:rPr>
          <w:fldChar w:fldCharType="end"/>
        </w:r>
      </w:hyperlink>
    </w:p>
    <w:p w14:paraId="1B11DEDB" w14:textId="50976178" w:rsidR="00B75749" w:rsidRPr="000B3465" w:rsidRDefault="00B75749" w:rsidP="00BB4A01">
      <w:pPr>
        <w:pStyle w:val="TOC2"/>
        <w:tabs>
          <w:tab w:val="right" w:leader="dot" w:pos="9182"/>
        </w:tabs>
        <w:spacing w:after="80"/>
        <w:rPr>
          <w:rFonts w:ascii="Arial" w:hAnsi="Arial" w:cs="Arial"/>
          <w:noProof/>
          <w:kern w:val="2"/>
          <w:sz w:val="24"/>
          <w:szCs w:val="24"/>
          <w:lang w:eastAsia="en-AU"/>
          <w14:ligatures w14:val="standardContextual"/>
        </w:rPr>
      </w:pPr>
      <w:hyperlink w:anchor="_Toc184116534" w:history="1">
        <w:r w:rsidRPr="000B3465">
          <w:rPr>
            <w:rStyle w:val="Hyperlink"/>
            <w:rFonts w:ascii="Arial" w:hAnsi="Arial" w:cs="Arial"/>
            <w:noProof/>
          </w:rPr>
          <w:t>10.1 Data table: Forecast growth rates for international visitors to Victoria by purpose</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_Toc184116534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11</w:t>
        </w:r>
        <w:r w:rsidRPr="000B3465">
          <w:rPr>
            <w:rFonts w:ascii="Arial" w:hAnsi="Arial" w:cs="Arial"/>
            <w:noProof/>
            <w:webHidden/>
          </w:rPr>
          <w:fldChar w:fldCharType="end"/>
        </w:r>
      </w:hyperlink>
    </w:p>
    <w:p w14:paraId="179F257E" w14:textId="72A8EF82"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35" w:history="1">
        <w:r w:rsidRPr="000B3465">
          <w:rPr>
            <w:rStyle w:val="Hyperlink"/>
            <w:rFonts w:ascii="Arial" w:hAnsi="Arial" w:cs="Arial"/>
            <w:noProof/>
          </w:rPr>
          <w:t>11.0 Key factors influencing forecast growth</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_Toc184116535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12</w:t>
        </w:r>
        <w:r w:rsidRPr="000B3465">
          <w:rPr>
            <w:rFonts w:ascii="Arial" w:hAnsi="Arial" w:cs="Arial"/>
            <w:noProof/>
            <w:webHidden/>
          </w:rPr>
          <w:fldChar w:fldCharType="end"/>
        </w:r>
      </w:hyperlink>
    </w:p>
    <w:p w14:paraId="4F6E1383" w14:textId="5803668D" w:rsidR="00B75749" w:rsidRPr="000B3465" w:rsidRDefault="00B75749" w:rsidP="00BB4A01">
      <w:pPr>
        <w:pStyle w:val="TOC1"/>
        <w:tabs>
          <w:tab w:val="right" w:leader="dot" w:pos="9182"/>
        </w:tabs>
        <w:spacing w:after="80"/>
        <w:rPr>
          <w:rFonts w:ascii="Arial" w:hAnsi="Arial" w:cs="Arial"/>
          <w:noProof/>
          <w:kern w:val="2"/>
          <w:sz w:val="24"/>
          <w:szCs w:val="24"/>
          <w:lang w:eastAsia="en-AU"/>
          <w14:ligatures w14:val="standardContextual"/>
        </w:rPr>
      </w:pPr>
      <w:hyperlink w:anchor="_Toc184116536" w:history="1">
        <w:r w:rsidRPr="000B3465">
          <w:rPr>
            <w:rStyle w:val="Hyperlink"/>
            <w:rFonts w:ascii="Arial" w:hAnsi="Arial" w:cs="Arial"/>
            <w:noProof/>
          </w:rPr>
          <w:t>12.0 Data notes</w:t>
        </w:r>
        <w:r w:rsidRPr="000B3465">
          <w:rPr>
            <w:rFonts w:ascii="Arial" w:hAnsi="Arial" w:cs="Arial"/>
            <w:noProof/>
            <w:webHidden/>
          </w:rPr>
          <w:tab/>
        </w:r>
        <w:r w:rsidRPr="000B3465">
          <w:rPr>
            <w:rFonts w:ascii="Arial" w:hAnsi="Arial" w:cs="Arial"/>
            <w:noProof/>
            <w:webHidden/>
          </w:rPr>
          <w:fldChar w:fldCharType="begin"/>
        </w:r>
        <w:r w:rsidRPr="000B3465">
          <w:rPr>
            <w:rFonts w:ascii="Arial" w:hAnsi="Arial" w:cs="Arial"/>
            <w:noProof/>
            <w:webHidden/>
          </w:rPr>
          <w:instrText xml:space="preserve"> PAGEREF _Toc184116536 \h </w:instrText>
        </w:r>
        <w:r w:rsidRPr="000B3465">
          <w:rPr>
            <w:rFonts w:ascii="Arial" w:hAnsi="Arial" w:cs="Arial"/>
            <w:noProof/>
            <w:webHidden/>
          </w:rPr>
        </w:r>
        <w:r w:rsidRPr="000B3465">
          <w:rPr>
            <w:rFonts w:ascii="Arial" w:hAnsi="Arial" w:cs="Arial"/>
            <w:noProof/>
            <w:webHidden/>
          </w:rPr>
          <w:fldChar w:fldCharType="separate"/>
        </w:r>
        <w:r w:rsidR="00D613C0">
          <w:rPr>
            <w:rFonts w:ascii="Arial" w:hAnsi="Arial" w:cs="Arial"/>
            <w:noProof/>
            <w:webHidden/>
          </w:rPr>
          <w:t>12</w:t>
        </w:r>
        <w:r w:rsidRPr="000B3465">
          <w:rPr>
            <w:rFonts w:ascii="Arial" w:hAnsi="Arial" w:cs="Arial"/>
            <w:noProof/>
            <w:webHidden/>
          </w:rPr>
          <w:fldChar w:fldCharType="end"/>
        </w:r>
      </w:hyperlink>
    </w:p>
    <w:p w14:paraId="357DFAF3" w14:textId="168D3975" w:rsidR="00797C18" w:rsidRPr="00BB4A01" w:rsidRDefault="00892553" w:rsidP="00BB4A01">
      <w:pPr>
        <w:pStyle w:val="Heading1"/>
        <w:rPr>
          <w:rFonts w:ascii="Arial" w:hAnsi="Arial" w:cs="Arial"/>
        </w:rPr>
      </w:pPr>
      <w:r w:rsidRPr="00AF22E8">
        <w:lastRenderedPageBreak/>
        <w:fldChar w:fldCharType="end"/>
      </w:r>
      <w:bookmarkStart w:id="20" w:name="_Toc184116512"/>
      <w:r w:rsidR="00BB4A01" w:rsidRPr="00BB4A01">
        <w:rPr>
          <w:rFonts w:ascii="Arial" w:hAnsi="Arial" w:cs="Arial"/>
        </w:rPr>
        <w:t xml:space="preserve">1.0 </w:t>
      </w:r>
      <w:r w:rsidR="00797C18" w:rsidRPr="00BB4A01">
        <w:rPr>
          <w:rFonts w:ascii="Arial" w:hAnsi="Arial" w:cs="Arial"/>
        </w:rPr>
        <w:t>Summary results</w:t>
      </w:r>
      <w:bookmarkEnd w:id="20"/>
      <w:r w:rsidR="00797C18" w:rsidRPr="00BB4A01">
        <w:rPr>
          <w:rFonts w:ascii="Arial" w:hAnsi="Arial" w:cs="Arial"/>
        </w:rPr>
        <w:t xml:space="preserve"> </w:t>
      </w:r>
    </w:p>
    <w:p w14:paraId="1406C0B5" w14:textId="77777777" w:rsidR="0055347A" w:rsidRPr="0055347A" w:rsidRDefault="0055347A" w:rsidP="0055347A">
      <w:pPr>
        <w:rPr>
          <w:sz w:val="4"/>
          <w:szCs w:val="4"/>
        </w:rPr>
      </w:pPr>
    </w:p>
    <w:p w14:paraId="2B7EA194" w14:textId="62937CED" w:rsidR="00B631BE" w:rsidRPr="00AF22E8" w:rsidRDefault="0075539D" w:rsidP="00724FB6">
      <w:pPr>
        <w:pStyle w:val="ListParagraph"/>
        <w:numPr>
          <w:ilvl w:val="0"/>
          <w:numId w:val="1"/>
        </w:numPr>
        <w:rPr>
          <w:rFonts w:ascii="Arial" w:hAnsi="Arial" w:cs="Arial"/>
          <w:color w:val="000000" w:themeColor="text1"/>
          <w:sz w:val="22"/>
          <w:szCs w:val="22"/>
        </w:rPr>
      </w:pPr>
      <w:r w:rsidRPr="00D13422">
        <w:rPr>
          <w:rFonts w:ascii="Arial" w:hAnsi="Arial" w:cs="Arial"/>
          <w:color w:val="000000" w:themeColor="text1"/>
          <w:sz w:val="22"/>
          <w:szCs w:val="22"/>
        </w:rPr>
        <w:t xml:space="preserve">The outlook for growth has been revised down due to challenging market conditions. Total spend in Victoria is forecast to reach $50.9 billion in 2029. In the absence of specific spend or visitor forecasts for Victoria, national growth rates have been applied to Victorian estimates to project that spend in Victoria will reach $50.9 billion by 2029. </w:t>
      </w:r>
      <w:r w:rsidR="00A22B73" w:rsidRPr="00D13422">
        <w:rPr>
          <w:rFonts w:ascii="Arial" w:hAnsi="Arial" w:cs="Arial"/>
          <w:color w:val="000000" w:themeColor="text1"/>
          <w:sz w:val="22"/>
          <w:szCs w:val="22"/>
        </w:rPr>
        <w:t xml:space="preserve">This is less than previously estimated and reflects weaker travel demand within both the domestic and international sectors amidst </w:t>
      </w:r>
      <w:r w:rsidRPr="00D13422">
        <w:rPr>
          <w:rFonts w:ascii="Arial" w:hAnsi="Arial" w:cs="Arial"/>
          <w:color w:val="000000" w:themeColor="text1"/>
          <w:sz w:val="22"/>
          <w:szCs w:val="22"/>
        </w:rPr>
        <w:t>broader economic headwinds.</w:t>
      </w:r>
      <w:r w:rsidRPr="0075539D">
        <w:rPr>
          <w:rFonts w:ascii="Arial" w:hAnsi="Arial" w:cs="Arial"/>
          <w:color w:val="000000" w:themeColor="text1"/>
          <w:sz w:val="22"/>
          <w:szCs w:val="22"/>
        </w:rPr>
        <w:t xml:space="preserve"> The international sector is forecast to generate 38% of overall spend growth from 2024 to 2029, with the domestic overnight sector expected to account for 43% of spend growth in the forecast period</w:t>
      </w:r>
      <w:r w:rsidR="00797C18" w:rsidRPr="00AF22E8">
        <w:rPr>
          <w:rFonts w:ascii="Arial" w:hAnsi="Arial" w:cs="Arial"/>
          <w:color w:val="000000" w:themeColor="text1"/>
          <w:sz w:val="22"/>
          <w:szCs w:val="22"/>
        </w:rPr>
        <w:t>.</w:t>
      </w:r>
    </w:p>
    <w:p w14:paraId="57BBF007" w14:textId="242693AB" w:rsidR="00724FB6" w:rsidRPr="00AF22E8" w:rsidRDefault="00E35663" w:rsidP="00177DC9">
      <w:pPr>
        <w:pStyle w:val="ListParagraph"/>
        <w:numPr>
          <w:ilvl w:val="0"/>
          <w:numId w:val="1"/>
        </w:numPr>
        <w:rPr>
          <w:rFonts w:ascii="Arial" w:hAnsi="Arial" w:cs="Arial"/>
          <w:color w:val="000000" w:themeColor="text1"/>
          <w:sz w:val="22"/>
          <w:szCs w:val="22"/>
        </w:rPr>
      </w:pPr>
      <w:r w:rsidRPr="00E35663">
        <w:rPr>
          <w:rFonts w:ascii="Arial" w:hAnsi="Arial" w:cs="Arial"/>
          <w:color w:val="000000" w:themeColor="text1"/>
          <w:sz w:val="22"/>
          <w:szCs w:val="22"/>
        </w:rPr>
        <w:t>Total visitors to/within Victoria are projected to reach 105.2 million in 2029. Visitors are expected to return to pre-pandemic levels by 2028, slower than the pace of recovery in spend. Domestic visitors are projected to continue to account for the largest share of visitors in Victoria with an estimated 68.7 million domestic daytrip visitors and 32.5 million domestic overnight visitors expected in 2029. International overnight visitors to Victoria are forecast to reach 3.9 million in 2029</w:t>
      </w:r>
      <w:r w:rsidR="00177DC9" w:rsidRPr="00AF22E8">
        <w:rPr>
          <w:rFonts w:ascii="Arial" w:hAnsi="Arial" w:cs="Arial"/>
          <w:color w:val="000000" w:themeColor="text1"/>
          <w:sz w:val="22"/>
          <w:szCs w:val="22"/>
        </w:rPr>
        <w:t>.</w:t>
      </w:r>
    </w:p>
    <w:p w14:paraId="50939237" w14:textId="762ABF18" w:rsidR="007A24EE" w:rsidRPr="00AF22E8" w:rsidRDefault="00922EA4" w:rsidP="007B25F6">
      <w:pPr>
        <w:pStyle w:val="ListParagraph"/>
        <w:numPr>
          <w:ilvl w:val="0"/>
          <w:numId w:val="1"/>
        </w:numPr>
        <w:rPr>
          <w:rFonts w:ascii="Arial" w:hAnsi="Arial" w:cs="Arial"/>
          <w:color w:val="000000" w:themeColor="text1"/>
          <w:sz w:val="22"/>
          <w:szCs w:val="22"/>
        </w:rPr>
      </w:pPr>
      <w:r w:rsidRPr="00922EA4">
        <w:rPr>
          <w:rFonts w:ascii="Arial" w:hAnsi="Arial" w:cs="Arial"/>
          <w:color w:val="000000" w:themeColor="text1"/>
          <w:sz w:val="22"/>
          <w:szCs w:val="22"/>
        </w:rPr>
        <w:t>The forecast for the domestic sector is softer than in the previous forecast. Growth in domestic travel is forecast to be weaker than previously expected as challenging economic conditions continue to put pressure on household budgets leading to reduced discretionary spending. At the same time there has been a notable trend of Australians opting for international trips in preference to domestic travel, further limiting domestic travel growth. Domestic visitor nights in Victoria are expected to be above 2019 levels in 2026</w:t>
      </w:r>
      <w:r w:rsidR="007B25F6" w:rsidRPr="00AF22E8">
        <w:rPr>
          <w:rFonts w:ascii="Arial" w:hAnsi="Arial" w:cs="Arial"/>
          <w:color w:val="000000" w:themeColor="text1"/>
          <w:sz w:val="22"/>
          <w:szCs w:val="22"/>
        </w:rPr>
        <w:t>.</w:t>
      </w:r>
    </w:p>
    <w:p w14:paraId="53110F91" w14:textId="17BB97D7" w:rsidR="00CC2500" w:rsidRPr="0066736D" w:rsidRDefault="0066736D" w:rsidP="0066736D">
      <w:pPr>
        <w:pStyle w:val="ListParagraph"/>
        <w:numPr>
          <w:ilvl w:val="0"/>
          <w:numId w:val="1"/>
        </w:numPr>
        <w:rPr>
          <w:rFonts w:ascii="Arial" w:hAnsi="Arial" w:cs="Arial"/>
          <w:color w:val="000000" w:themeColor="text1"/>
          <w:sz w:val="22"/>
          <w:szCs w:val="22"/>
        </w:rPr>
      </w:pPr>
      <w:r w:rsidRPr="0066736D">
        <w:rPr>
          <w:rFonts w:ascii="Arial" w:hAnsi="Arial" w:cs="Arial"/>
          <w:color w:val="000000" w:themeColor="text1"/>
          <w:sz w:val="22"/>
          <w:szCs w:val="22"/>
        </w:rPr>
        <w:t>International arrivals to return to 2019 levels in 2026, later than previously expected. The growth outlook for international visitors has weakened, with forecasts downgraded across most markets since the 2023 Forecast publication. China</w:t>
      </w:r>
      <w:r w:rsidR="00BC6CEE" w:rsidRPr="0066736D">
        <w:rPr>
          <w:rFonts w:ascii="Arial" w:hAnsi="Arial" w:cs="Arial"/>
          <w:color w:val="000000" w:themeColor="text1"/>
          <w:sz w:val="22"/>
          <w:szCs w:val="22"/>
        </w:rPr>
        <w:t xml:space="preserve"> has</w:t>
      </w:r>
      <w:r w:rsidRPr="0066736D">
        <w:rPr>
          <w:rFonts w:ascii="Arial" w:hAnsi="Arial" w:cs="Arial"/>
          <w:color w:val="000000" w:themeColor="text1"/>
          <w:sz w:val="22"/>
          <w:szCs w:val="22"/>
        </w:rPr>
        <w:t xml:space="preserve"> seen a substantial revision due to global economic uncertainty and proposed policy changes in the international education sector (student caps). These changes have also affected forecasts for India and some Southeast Asian markets. International overnight visitors to Victoria are now projected to surpass 2019 levels by 2026, aligning with Australia’s overall recovery timeline</w:t>
      </w:r>
      <w:r w:rsidR="00365111" w:rsidRPr="0066736D">
        <w:rPr>
          <w:rFonts w:ascii="Arial" w:hAnsi="Arial" w:cs="Arial"/>
          <w:color w:val="000000" w:themeColor="text1"/>
          <w:sz w:val="22"/>
          <w:szCs w:val="22"/>
        </w:rPr>
        <w:t>.</w:t>
      </w:r>
    </w:p>
    <w:p w14:paraId="1B0C8717" w14:textId="151598A5" w:rsidR="00596626" w:rsidRDefault="005940EB" w:rsidP="00434A1C">
      <w:pPr>
        <w:pStyle w:val="Heading1"/>
        <w:rPr>
          <w:rFonts w:ascii="Arial" w:hAnsi="Arial" w:cs="Arial"/>
        </w:rPr>
      </w:pPr>
      <w:bookmarkStart w:id="21" w:name="_Toc184116513"/>
      <w:r>
        <w:rPr>
          <w:rFonts w:ascii="Arial" w:hAnsi="Arial" w:cs="Arial"/>
        </w:rPr>
        <w:t xml:space="preserve">2.0 </w:t>
      </w:r>
      <w:r w:rsidR="00434A1C" w:rsidRPr="00AF22E8">
        <w:rPr>
          <w:rFonts w:ascii="Arial" w:hAnsi="Arial" w:cs="Arial"/>
        </w:rPr>
        <w:t>Future tourism spend in Victoria</w:t>
      </w:r>
      <w:bookmarkEnd w:id="21"/>
    </w:p>
    <w:p w14:paraId="78DEA81A" w14:textId="77777777" w:rsidR="0055347A" w:rsidRPr="0055347A" w:rsidRDefault="0055347A" w:rsidP="0055347A">
      <w:pPr>
        <w:rPr>
          <w:sz w:val="4"/>
          <w:szCs w:val="4"/>
        </w:rPr>
      </w:pPr>
    </w:p>
    <w:p w14:paraId="749330F1" w14:textId="3C371120" w:rsidR="00E87E08" w:rsidRPr="00AF22E8" w:rsidRDefault="0024257B" w:rsidP="00C320FB">
      <w:pPr>
        <w:pStyle w:val="ListParagraph"/>
        <w:numPr>
          <w:ilvl w:val="0"/>
          <w:numId w:val="2"/>
        </w:numPr>
        <w:rPr>
          <w:rFonts w:ascii="Arial" w:hAnsi="Arial" w:cs="Arial"/>
          <w:sz w:val="22"/>
          <w:szCs w:val="22"/>
        </w:rPr>
      </w:pPr>
      <w:r w:rsidRPr="0024257B">
        <w:rPr>
          <w:rFonts w:ascii="Arial" w:hAnsi="Arial" w:cs="Arial"/>
          <w:sz w:val="22"/>
          <w:szCs w:val="22"/>
        </w:rPr>
        <w:t>Domestic overnight spend growth is expected to be moderate over the next 5 years to reach $27.4 billion in 2029, an estimated $4.6 billion more than the projected 2024 result of $22.7 billion</w:t>
      </w:r>
      <w:r w:rsidR="00C320FB" w:rsidRPr="00AF22E8">
        <w:rPr>
          <w:rFonts w:ascii="Arial" w:hAnsi="Arial" w:cs="Arial"/>
          <w:sz w:val="22"/>
          <w:szCs w:val="22"/>
        </w:rPr>
        <w:t>.</w:t>
      </w:r>
    </w:p>
    <w:p w14:paraId="6D43D45E" w14:textId="63F6E695" w:rsidR="00F90375" w:rsidRPr="00AF22E8" w:rsidRDefault="005F3B5A" w:rsidP="00F90375">
      <w:pPr>
        <w:pStyle w:val="ListParagraph"/>
        <w:numPr>
          <w:ilvl w:val="0"/>
          <w:numId w:val="2"/>
        </w:numPr>
        <w:rPr>
          <w:rFonts w:ascii="Arial" w:hAnsi="Arial" w:cs="Arial"/>
          <w:sz w:val="22"/>
          <w:szCs w:val="22"/>
        </w:rPr>
      </w:pPr>
      <w:r w:rsidRPr="005F3B5A">
        <w:rPr>
          <w:rFonts w:ascii="Arial" w:hAnsi="Arial" w:cs="Arial"/>
          <w:sz w:val="22"/>
          <w:szCs w:val="22"/>
        </w:rPr>
        <w:t>Domestic daytrip spend is projected to grow to $10.6 billion in 2029, which is $2.1 billion more than the 2024 estimated result of $8.5 billion</w:t>
      </w:r>
      <w:r w:rsidR="00F90375" w:rsidRPr="00AF22E8">
        <w:rPr>
          <w:rFonts w:ascii="Arial" w:hAnsi="Arial" w:cs="Arial"/>
          <w:sz w:val="22"/>
          <w:szCs w:val="22"/>
        </w:rPr>
        <w:t>.</w:t>
      </w:r>
    </w:p>
    <w:p w14:paraId="426BE314" w14:textId="3CAFA1EA" w:rsidR="006668D3" w:rsidRPr="00AF22E8" w:rsidRDefault="00D05AE4" w:rsidP="00F90375">
      <w:pPr>
        <w:pStyle w:val="ListParagraph"/>
        <w:numPr>
          <w:ilvl w:val="0"/>
          <w:numId w:val="2"/>
        </w:numPr>
        <w:rPr>
          <w:rFonts w:ascii="Arial" w:hAnsi="Arial" w:cs="Arial"/>
          <w:color w:val="000000" w:themeColor="text1"/>
          <w:sz w:val="22"/>
          <w:szCs w:val="22"/>
        </w:rPr>
      </w:pPr>
      <w:r w:rsidRPr="00D05AE4">
        <w:rPr>
          <w:rFonts w:ascii="Arial" w:hAnsi="Arial" w:cs="Arial"/>
          <w:sz w:val="22"/>
          <w:szCs w:val="22"/>
        </w:rPr>
        <w:t>International overnight spend is forecast to return above 2019 levels in late 2024 and grow to $13.0 billion in 2029, delivering an additional $4.1 billion in spend to the state over the next 5 years (up from the $8.9 billion estimate for 2024</w:t>
      </w:r>
      <w:r>
        <w:rPr>
          <w:rFonts w:ascii="Arial" w:hAnsi="Arial" w:cs="Arial"/>
          <w:sz w:val="22"/>
          <w:szCs w:val="22"/>
        </w:rPr>
        <w:t>)</w:t>
      </w:r>
      <w:r w:rsidR="00F90375" w:rsidRPr="00AF22E8">
        <w:rPr>
          <w:rFonts w:ascii="Arial" w:hAnsi="Arial" w:cs="Arial"/>
          <w:sz w:val="22"/>
          <w:szCs w:val="22"/>
        </w:rPr>
        <w:t>.</w:t>
      </w:r>
    </w:p>
    <w:p w14:paraId="34524D21" w14:textId="037BEAE4" w:rsidR="008F1245" w:rsidRPr="0055347A" w:rsidRDefault="005940EB" w:rsidP="00895CA4">
      <w:pPr>
        <w:pStyle w:val="Heading2"/>
        <w:spacing w:before="80" w:line="240" w:lineRule="auto"/>
        <w:rPr>
          <w:rFonts w:ascii="Arial" w:hAnsi="Arial" w:cs="Arial"/>
          <w:color w:val="002060"/>
        </w:rPr>
      </w:pPr>
      <w:bookmarkStart w:id="22" w:name="_Toc184116514"/>
      <w:r w:rsidRPr="0055347A">
        <w:rPr>
          <w:rFonts w:ascii="Arial" w:hAnsi="Arial" w:cs="Arial"/>
          <w:color w:val="002060"/>
        </w:rPr>
        <w:lastRenderedPageBreak/>
        <w:t xml:space="preserve">2.1 </w:t>
      </w:r>
      <w:r w:rsidR="004F6961" w:rsidRPr="0055347A">
        <w:rPr>
          <w:rFonts w:ascii="Arial" w:hAnsi="Arial" w:cs="Arial"/>
          <w:color w:val="002060"/>
        </w:rPr>
        <w:t xml:space="preserve">Data table: </w:t>
      </w:r>
      <w:r w:rsidR="00F772F6" w:rsidRPr="0055347A">
        <w:rPr>
          <w:rFonts w:ascii="Arial" w:hAnsi="Arial" w:cs="Arial"/>
          <w:color w:val="002060"/>
        </w:rPr>
        <w:t>Actual and p</w:t>
      </w:r>
      <w:r w:rsidR="00755523" w:rsidRPr="0055347A">
        <w:rPr>
          <w:rFonts w:ascii="Arial" w:hAnsi="Arial" w:cs="Arial"/>
          <w:color w:val="002060"/>
        </w:rPr>
        <w:t>rojected n</w:t>
      </w:r>
      <w:r w:rsidR="00E47E49" w:rsidRPr="0055347A">
        <w:rPr>
          <w:rFonts w:ascii="Arial" w:hAnsi="Arial" w:cs="Arial"/>
          <w:color w:val="002060"/>
        </w:rPr>
        <w:t>ominal</w:t>
      </w:r>
      <w:r w:rsidR="00D138B2" w:rsidRPr="0055347A">
        <w:rPr>
          <w:rFonts w:ascii="Arial" w:hAnsi="Arial" w:cs="Arial"/>
          <w:color w:val="002060"/>
        </w:rPr>
        <w:t xml:space="preserve"> visitor</w:t>
      </w:r>
      <w:r w:rsidR="00E47E49" w:rsidRPr="0055347A">
        <w:rPr>
          <w:rFonts w:ascii="Arial" w:hAnsi="Arial" w:cs="Arial"/>
          <w:color w:val="002060"/>
        </w:rPr>
        <w:t xml:space="preserve"> e</w:t>
      </w:r>
      <w:r w:rsidR="00D018B2" w:rsidRPr="0055347A">
        <w:rPr>
          <w:rFonts w:ascii="Arial" w:hAnsi="Arial" w:cs="Arial"/>
          <w:color w:val="002060"/>
        </w:rPr>
        <w:t xml:space="preserve">xpenditure in Victoria </w:t>
      </w:r>
      <w:r w:rsidR="00F772F6" w:rsidRPr="0055347A">
        <w:rPr>
          <w:rFonts w:ascii="Arial" w:hAnsi="Arial" w:cs="Arial"/>
          <w:color w:val="002060"/>
        </w:rPr>
        <w:t>from 20</w:t>
      </w:r>
      <w:r w:rsidR="0081248A" w:rsidRPr="0055347A">
        <w:rPr>
          <w:rFonts w:ascii="Arial" w:hAnsi="Arial" w:cs="Arial"/>
          <w:color w:val="002060"/>
        </w:rPr>
        <w:t>1</w:t>
      </w:r>
      <w:r w:rsidR="00D05AE4" w:rsidRPr="0055347A">
        <w:rPr>
          <w:rFonts w:ascii="Arial" w:hAnsi="Arial" w:cs="Arial"/>
          <w:color w:val="002060"/>
        </w:rPr>
        <w:t>9</w:t>
      </w:r>
      <w:r w:rsidR="00F772F6" w:rsidRPr="0055347A">
        <w:rPr>
          <w:rFonts w:ascii="Arial" w:hAnsi="Arial" w:cs="Arial"/>
          <w:color w:val="002060"/>
        </w:rPr>
        <w:t xml:space="preserve"> to</w:t>
      </w:r>
      <w:r w:rsidR="00755523" w:rsidRPr="0055347A">
        <w:rPr>
          <w:rFonts w:ascii="Arial" w:hAnsi="Arial" w:cs="Arial"/>
          <w:color w:val="002060"/>
        </w:rPr>
        <w:t xml:space="preserve"> </w:t>
      </w:r>
      <w:r w:rsidR="00AF22E8" w:rsidRPr="0055347A">
        <w:rPr>
          <w:rFonts w:ascii="Arial" w:hAnsi="Arial" w:cs="Arial"/>
          <w:color w:val="002060"/>
        </w:rPr>
        <w:t>2029</w:t>
      </w:r>
      <w:r w:rsidR="00B3268D" w:rsidRPr="0055347A">
        <w:rPr>
          <w:rFonts w:ascii="Arial" w:hAnsi="Arial" w:cs="Arial"/>
          <w:color w:val="002060"/>
        </w:rPr>
        <w:t>.</w:t>
      </w:r>
      <w:bookmarkEnd w:id="22"/>
      <w:r w:rsidR="00B3268D" w:rsidRPr="0055347A">
        <w:rPr>
          <w:rFonts w:ascii="Arial" w:hAnsi="Arial" w:cs="Arial"/>
          <w:color w:val="002060"/>
        </w:rPr>
        <w:t xml:space="preserve"> </w:t>
      </w:r>
    </w:p>
    <w:p w14:paraId="7C668025" w14:textId="5197BB25" w:rsidR="004F6961" w:rsidRPr="00AF22E8" w:rsidRDefault="00B80795" w:rsidP="00084F35">
      <w:pPr>
        <w:spacing w:before="120" w:after="120" w:line="240" w:lineRule="auto"/>
        <w:rPr>
          <w:rFonts w:ascii="Arial" w:hAnsi="Arial" w:cs="Arial"/>
        </w:rPr>
      </w:pPr>
      <w:r w:rsidRPr="00234CDA">
        <w:rPr>
          <w:rFonts w:ascii="Arial" w:hAnsi="Arial" w:cs="Arial"/>
          <w:sz w:val="22"/>
          <w:szCs w:val="22"/>
        </w:rPr>
        <w:t xml:space="preserve">The table below provides </w:t>
      </w:r>
      <w:r w:rsidR="001F1E48" w:rsidRPr="00234CDA">
        <w:rPr>
          <w:rFonts w:ascii="Arial" w:hAnsi="Arial" w:cs="Arial"/>
          <w:sz w:val="22"/>
          <w:szCs w:val="22"/>
        </w:rPr>
        <w:t xml:space="preserve">nominal </w:t>
      </w:r>
      <w:r w:rsidR="00527316" w:rsidRPr="00234CDA">
        <w:rPr>
          <w:rFonts w:ascii="Arial" w:hAnsi="Arial" w:cs="Arial"/>
          <w:sz w:val="22"/>
          <w:szCs w:val="22"/>
        </w:rPr>
        <w:t>expenditure figures for</w:t>
      </w:r>
      <w:r w:rsidR="001F1E48" w:rsidRPr="00234CDA">
        <w:rPr>
          <w:rFonts w:ascii="Arial" w:hAnsi="Arial" w:cs="Arial"/>
          <w:sz w:val="22"/>
          <w:szCs w:val="22"/>
        </w:rPr>
        <w:t xml:space="preserve"> inbound visitors, domestic daytrip</w:t>
      </w:r>
      <w:r w:rsidR="00E76F14" w:rsidRPr="00234CDA">
        <w:rPr>
          <w:rFonts w:ascii="Arial" w:hAnsi="Arial" w:cs="Arial"/>
          <w:sz w:val="22"/>
          <w:szCs w:val="22"/>
        </w:rPr>
        <w:t xml:space="preserve"> visitors, domestic overnight visitors and total visitors for 201</w:t>
      </w:r>
      <w:r w:rsidR="00A01DAB" w:rsidRPr="00234CDA">
        <w:rPr>
          <w:rFonts w:ascii="Arial" w:hAnsi="Arial" w:cs="Arial"/>
          <w:sz w:val="22"/>
          <w:szCs w:val="22"/>
        </w:rPr>
        <w:t>9</w:t>
      </w:r>
      <w:r w:rsidR="00E76F14" w:rsidRPr="00234CDA">
        <w:rPr>
          <w:rFonts w:ascii="Arial" w:hAnsi="Arial" w:cs="Arial"/>
          <w:sz w:val="22"/>
          <w:szCs w:val="22"/>
        </w:rPr>
        <w:t xml:space="preserve"> through to </w:t>
      </w:r>
      <w:r w:rsidR="00AF22E8" w:rsidRPr="00234CDA">
        <w:rPr>
          <w:rFonts w:ascii="Arial" w:hAnsi="Arial" w:cs="Arial"/>
          <w:sz w:val="22"/>
          <w:szCs w:val="22"/>
        </w:rPr>
        <w:t>2029</w:t>
      </w:r>
      <w:r w:rsidR="00E76F14" w:rsidRPr="00234CDA">
        <w:rPr>
          <w:rFonts w:ascii="Arial" w:hAnsi="Arial" w:cs="Arial"/>
          <w:sz w:val="22"/>
          <w:szCs w:val="22"/>
        </w:rPr>
        <w:t xml:space="preserve">. </w:t>
      </w:r>
      <w:r w:rsidR="00FB45B6" w:rsidRPr="00234CDA">
        <w:rPr>
          <w:rFonts w:ascii="Arial" w:hAnsi="Arial" w:cs="Arial"/>
          <w:sz w:val="22"/>
          <w:szCs w:val="22"/>
        </w:rPr>
        <w:t>Spend</w:t>
      </w:r>
      <w:r w:rsidR="003B7D0D" w:rsidRPr="00234CDA">
        <w:rPr>
          <w:rFonts w:ascii="Arial" w:hAnsi="Arial" w:cs="Arial"/>
          <w:sz w:val="22"/>
          <w:szCs w:val="22"/>
        </w:rPr>
        <w:t xml:space="preserve"> values</w:t>
      </w:r>
      <w:r w:rsidR="00FB45B6" w:rsidRPr="00234CDA">
        <w:rPr>
          <w:rFonts w:ascii="Arial" w:hAnsi="Arial" w:cs="Arial"/>
          <w:sz w:val="22"/>
          <w:szCs w:val="22"/>
        </w:rPr>
        <w:t xml:space="preserve"> </w:t>
      </w:r>
      <w:r w:rsidR="00767891" w:rsidRPr="00234CDA">
        <w:rPr>
          <w:rFonts w:ascii="Arial" w:hAnsi="Arial" w:cs="Arial"/>
          <w:sz w:val="22"/>
          <w:szCs w:val="22"/>
        </w:rPr>
        <w:t>from</w:t>
      </w:r>
      <w:r w:rsidR="00527316" w:rsidRPr="00234CDA">
        <w:rPr>
          <w:rFonts w:ascii="Arial" w:hAnsi="Arial" w:cs="Arial"/>
          <w:sz w:val="22"/>
          <w:szCs w:val="22"/>
        </w:rPr>
        <w:t xml:space="preserve"> 201</w:t>
      </w:r>
      <w:r w:rsidR="00A01DAB" w:rsidRPr="00234CDA">
        <w:rPr>
          <w:rFonts w:ascii="Arial" w:hAnsi="Arial" w:cs="Arial"/>
          <w:sz w:val="22"/>
          <w:szCs w:val="22"/>
        </w:rPr>
        <w:t>9</w:t>
      </w:r>
      <w:r w:rsidR="00527316" w:rsidRPr="00234CDA">
        <w:rPr>
          <w:rFonts w:ascii="Arial" w:hAnsi="Arial" w:cs="Arial"/>
          <w:sz w:val="22"/>
          <w:szCs w:val="22"/>
        </w:rPr>
        <w:t xml:space="preserve"> to 202</w:t>
      </w:r>
      <w:r w:rsidR="0098132E" w:rsidRPr="00234CDA">
        <w:rPr>
          <w:rFonts w:ascii="Arial" w:hAnsi="Arial" w:cs="Arial"/>
          <w:sz w:val="22"/>
          <w:szCs w:val="22"/>
        </w:rPr>
        <w:t>3</w:t>
      </w:r>
      <w:r w:rsidR="00527316" w:rsidRPr="00234CDA">
        <w:rPr>
          <w:rFonts w:ascii="Arial" w:hAnsi="Arial" w:cs="Arial"/>
          <w:sz w:val="22"/>
          <w:szCs w:val="22"/>
        </w:rPr>
        <w:t xml:space="preserve"> are actual while values for </w:t>
      </w:r>
      <w:r w:rsidR="00AF22E8" w:rsidRPr="00234CDA">
        <w:rPr>
          <w:rFonts w:ascii="Arial" w:hAnsi="Arial" w:cs="Arial"/>
          <w:sz w:val="22"/>
          <w:szCs w:val="22"/>
        </w:rPr>
        <w:t>2024</w:t>
      </w:r>
      <w:r w:rsidR="00767891" w:rsidRPr="00234CDA">
        <w:rPr>
          <w:rFonts w:ascii="Arial" w:hAnsi="Arial" w:cs="Arial"/>
          <w:sz w:val="22"/>
          <w:szCs w:val="22"/>
        </w:rPr>
        <w:t xml:space="preserve"> to</w:t>
      </w:r>
      <w:r w:rsidR="0034254B" w:rsidRPr="00234CDA">
        <w:rPr>
          <w:rFonts w:ascii="Arial" w:hAnsi="Arial" w:cs="Arial"/>
          <w:sz w:val="22"/>
          <w:szCs w:val="22"/>
        </w:rPr>
        <w:t xml:space="preserve"> </w:t>
      </w:r>
      <w:r w:rsidR="00AF22E8" w:rsidRPr="00234CDA">
        <w:rPr>
          <w:rFonts w:ascii="Arial" w:hAnsi="Arial" w:cs="Arial"/>
          <w:sz w:val="22"/>
          <w:szCs w:val="22"/>
        </w:rPr>
        <w:t>2029</w:t>
      </w:r>
      <w:r w:rsidR="003B7D0D" w:rsidRPr="00234CDA">
        <w:rPr>
          <w:rFonts w:ascii="Arial" w:hAnsi="Arial" w:cs="Arial"/>
          <w:sz w:val="22"/>
          <w:szCs w:val="22"/>
        </w:rPr>
        <w:t xml:space="preserve"> are projected</w:t>
      </w:r>
      <w:r w:rsidR="00326128" w:rsidRPr="00AF22E8">
        <w:rPr>
          <w:rFonts w:ascii="Arial" w:hAnsi="Arial" w:cs="Arial"/>
        </w:rPr>
        <w:t>.</w:t>
      </w:r>
      <w:r w:rsidR="00767891" w:rsidRPr="00AF22E8">
        <w:rPr>
          <w:rFonts w:ascii="Arial" w:hAnsi="Arial" w:cs="Arial"/>
        </w:rPr>
        <w:t xml:space="preserve"> </w:t>
      </w:r>
    </w:p>
    <w:tbl>
      <w:tblPr>
        <w:tblStyle w:val="TableGrid"/>
        <w:tblW w:w="0" w:type="auto"/>
        <w:tblLook w:val="04A0" w:firstRow="1" w:lastRow="0" w:firstColumn="1" w:lastColumn="0" w:noHBand="0" w:noVBand="1"/>
      </w:tblPr>
      <w:tblGrid>
        <w:gridCol w:w="1129"/>
        <w:gridCol w:w="1843"/>
        <w:gridCol w:w="2171"/>
        <w:gridCol w:w="2223"/>
        <w:gridCol w:w="1650"/>
      </w:tblGrid>
      <w:tr w:rsidR="00AB613E" w:rsidRPr="00AF22E8" w14:paraId="152C02E1" w14:textId="77777777" w:rsidTr="00D75D73">
        <w:trPr>
          <w:tblHeader/>
        </w:trPr>
        <w:tc>
          <w:tcPr>
            <w:tcW w:w="1129" w:type="dxa"/>
            <w:shd w:val="clear" w:color="auto" w:fill="D9D9D9" w:themeFill="background1" w:themeFillShade="D9"/>
          </w:tcPr>
          <w:p w14:paraId="400AD105" w14:textId="7E9C4093" w:rsidR="00AB613E" w:rsidRPr="00AF22E8" w:rsidRDefault="00B041AA" w:rsidP="00912691">
            <w:pPr>
              <w:spacing w:after="120" w:line="240" w:lineRule="auto"/>
              <w:rPr>
                <w:rFonts w:ascii="Arial" w:hAnsi="Arial" w:cs="Arial"/>
                <w:b/>
                <w:bCs/>
                <w:color w:val="000000" w:themeColor="text1"/>
                <w:sz w:val="22"/>
                <w:szCs w:val="22"/>
              </w:rPr>
            </w:pPr>
            <w:bookmarkStart w:id="23" w:name="Title_1" w:colFirst="0" w:colLast="0"/>
            <w:r w:rsidRPr="00AF22E8">
              <w:rPr>
                <w:rFonts w:ascii="Arial" w:hAnsi="Arial" w:cs="Arial"/>
                <w:b/>
                <w:bCs/>
                <w:color w:val="000000" w:themeColor="text1"/>
                <w:sz w:val="22"/>
                <w:szCs w:val="22"/>
              </w:rPr>
              <w:t>Year</w:t>
            </w:r>
          </w:p>
        </w:tc>
        <w:tc>
          <w:tcPr>
            <w:tcW w:w="1843" w:type="dxa"/>
            <w:shd w:val="clear" w:color="auto" w:fill="D9D9D9" w:themeFill="background1" w:themeFillShade="D9"/>
          </w:tcPr>
          <w:p w14:paraId="7A0183A8" w14:textId="76D0B118" w:rsidR="00AB613E" w:rsidRPr="00AF22E8" w:rsidRDefault="006C4E7A"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International </w:t>
            </w:r>
            <w:r w:rsidR="00AB613E" w:rsidRPr="00AF22E8">
              <w:rPr>
                <w:rFonts w:ascii="Arial" w:hAnsi="Arial" w:cs="Arial"/>
                <w:b/>
                <w:bCs/>
                <w:color w:val="000000" w:themeColor="text1"/>
                <w:sz w:val="22"/>
                <w:szCs w:val="22"/>
              </w:rPr>
              <w:t>nominal expenditure</w:t>
            </w:r>
          </w:p>
        </w:tc>
        <w:tc>
          <w:tcPr>
            <w:tcW w:w="2171" w:type="dxa"/>
            <w:shd w:val="clear" w:color="auto" w:fill="D9D9D9" w:themeFill="background1" w:themeFillShade="D9"/>
          </w:tcPr>
          <w:p w14:paraId="2724B1E1" w14:textId="5A3E553A" w:rsidR="00AB613E" w:rsidRPr="00AF22E8" w:rsidRDefault="00AB613E"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Domestic daytrip nominal expenditure</w:t>
            </w:r>
          </w:p>
        </w:tc>
        <w:tc>
          <w:tcPr>
            <w:tcW w:w="2223" w:type="dxa"/>
            <w:shd w:val="clear" w:color="auto" w:fill="D9D9D9" w:themeFill="background1" w:themeFillShade="D9"/>
          </w:tcPr>
          <w:p w14:paraId="45C8C34E" w14:textId="502B85C4" w:rsidR="00AB613E" w:rsidRPr="00AF22E8" w:rsidRDefault="00AB613E"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Domestic overnight nominal expenditure</w:t>
            </w:r>
          </w:p>
        </w:tc>
        <w:tc>
          <w:tcPr>
            <w:tcW w:w="1650" w:type="dxa"/>
            <w:shd w:val="clear" w:color="auto" w:fill="D9D9D9" w:themeFill="background1" w:themeFillShade="D9"/>
          </w:tcPr>
          <w:p w14:paraId="41F95483" w14:textId="0B7CC214" w:rsidR="00AB613E" w:rsidRPr="00AF22E8" w:rsidRDefault="00AB613E"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Total nominal expenditure</w:t>
            </w:r>
          </w:p>
        </w:tc>
      </w:tr>
      <w:bookmarkEnd w:id="23"/>
      <w:tr w:rsidR="005E4DE9" w:rsidRPr="00AF22E8" w14:paraId="0782D487" w14:textId="77777777" w:rsidTr="00D75D73">
        <w:trPr>
          <w:trHeight w:val="340"/>
        </w:trPr>
        <w:tc>
          <w:tcPr>
            <w:tcW w:w="1129" w:type="dxa"/>
          </w:tcPr>
          <w:p w14:paraId="452A9027" w14:textId="5B6219DE" w:rsidR="005E4DE9" w:rsidRPr="00AF22E8" w:rsidRDefault="005E4DE9" w:rsidP="005E4DE9">
            <w:pPr>
              <w:spacing w:after="120" w:line="240" w:lineRule="auto"/>
              <w:rPr>
                <w:rFonts w:ascii="Arial" w:hAnsi="Arial" w:cs="Arial"/>
                <w:b/>
                <w:bCs/>
                <w:color w:val="000000" w:themeColor="text1"/>
                <w:sz w:val="22"/>
                <w:szCs w:val="22"/>
              </w:rPr>
            </w:pPr>
            <w:r w:rsidRPr="00AF22E8">
              <w:rPr>
                <w:rFonts w:ascii="Arial" w:hAnsi="Arial" w:cs="Arial"/>
                <w:b/>
                <w:bCs/>
              </w:rPr>
              <w:t>2019</w:t>
            </w:r>
          </w:p>
        </w:tc>
        <w:tc>
          <w:tcPr>
            <w:tcW w:w="1843" w:type="dxa"/>
          </w:tcPr>
          <w:p w14:paraId="0CE8FF9D" w14:textId="391E4185"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$8.8 billion</w:t>
            </w:r>
          </w:p>
        </w:tc>
        <w:tc>
          <w:tcPr>
            <w:tcW w:w="2171" w:type="dxa"/>
          </w:tcPr>
          <w:p w14:paraId="61A2DC89" w14:textId="7FCE73B1"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$6.7 billion</w:t>
            </w:r>
          </w:p>
        </w:tc>
        <w:tc>
          <w:tcPr>
            <w:tcW w:w="2223" w:type="dxa"/>
          </w:tcPr>
          <w:p w14:paraId="3FF35DF1" w14:textId="6961A889"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$17.0 billion</w:t>
            </w:r>
          </w:p>
        </w:tc>
        <w:tc>
          <w:tcPr>
            <w:tcW w:w="1650" w:type="dxa"/>
          </w:tcPr>
          <w:p w14:paraId="7667CF26" w14:textId="1A146F33"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$32.5 billion</w:t>
            </w:r>
          </w:p>
        </w:tc>
      </w:tr>
      <w:tr w:rsidR="005E4DE9" w:rsidRPr="00AF22E8" w14:paraId="58016284" w14:textId="77777777" w:rsidTr="00D75D73">
        <w:trPr>
          <w:trHeight w:val="340"/>
        </w:trPr>
        <w:tc>
          <w:tcPr>
            <w:tcW w:w="1129" w:type="dxa"/>
          </w:tcPr>
          <w:p w14:paraId="411FEBED" w14:textId="5D873D4D" w:rsidR="005E4DE9" w:rsidRPr="00AF22E8" w:rsidRDefault="005E4DE9" w:rsidP="005E4DE9">
            <w:pPr>
              <w:spacing w:after="120" w:line="240" w:lineRule="auto"/>
              <w:rPr>
                <w:rFonts w:ascii="Arial" w:hAnsi="Arial" w:cs="Arial"/>
                <w:b/>
                <w:bCs/>
                <w:color w:val="000000" w:themeColor="text1"/>
                <w:sz w:val="22"/>
                <w:szCs w:val="22"/>
              </w:rPr>
            </w:pPr>
            <w:r w:rsidRPr="00AF22E8">
              <w:rPr>
                <w:rFonts w:ascii="Arial" w:hAnsi="Arial" w:cs="Arial"/>
                <w:b/>
                <w:bCs/>
              </w:rPr>
              <w:t>2020</w:t>
            </w:r>
          </w:p>
        </w:tc>
        <w:tc>
          <w:tcPr>
            <w:tcW w:w="1843" w:type="dxa"/>
          </w:tcPr>
          <w:p w14:paraId="00AAB560" w14:textId="58C3E86C"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$2.5 billion</w:t>
            </w:r>
          </w:p>
        </w:tc>
        <w:tc>
          <w:tcPr>
            <w:tcW w:w="2171" w:type="dxa"/>
          </w:tcPr>
          <w:p w14:paraId="2FFCC1EC" w14:textId="2F2DC189"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$3.5 billion</w:t>
            </w:r>
          </w:p>
        </w:tc>
        <w:tc>
          <w:tcPr>
            <w:tcW w:w="2223" w:type="dxa"/>
          </w:tcPr>
          <w:p w14:paraId="0EA84E5C" w14:textId="37D5693B"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$7.0 billion</w:t>
            </w:r>
          </w:p>
        </w:tc>
        <w:tc>
          <w:tcPr>
            <w:tcW w:w="1650" w:type="dxa"/>
          </w:tcPr>
          <w:p w14:paraId="69D2D34F" w14:textId="63FD2800"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$13.0 billion</w:t>
            </w:r>
          </w:p>
        </w:tc>
      </w:tr>
      <w:tr w:rsidR="005E4DE9" w:rsidRPr="00AF22E8" w14:paraId="18F389E6" w14:textId="77777777" w:rsidTr="00D75D73">
        <w:trPr>
          <w:trHeight w:val="340"/>
        </w:trPr>
        <w:tc>
          <w:tcPr>
            <w:tcW w:w="1129" w:type="dxa"/>
          </w:tcPr>
          <w:p w14:paraId="482D37D2" w14:textId="2847A324" w:rsidR="005E4DE9" w:rsidRPr="00AF22E8" w:rsidRDefault="005E4DE9" w:rsidP="005E4DE9">
            <w:pPr>
              <w:spacing w:after="120" w:line="240" w:lineRule="auto"/>
              <w:rPr>
                <w:rFonts w:ascii="Arial" w:hAnsi="Arial" w:cs="Arial"/>
                <w:b/>
                <w:bCs/>
                <w:color w:val="000000" w:themeColor="text1"/>
                <w:sz w:val="22"/>
                <w:szCs w:val="22"/>
              </w:rPr>
            </w:pPr>
            <w:r w:rsidRPr="00AF22E8">
              <w:rPr>
                <w:rFonts w:ascii="Arial" w:hAnsi="Arial" w:cs="Arial"/>
                <w:b/>
                <w:bCs/>
              </w:rPr>
              <w:t>2021</w:t>
            </w:r>
          </w:p>
        </w:tc>
        <w:tc>
          <w:tcPr>
            <w:tcW w:w="1843" w:type="dxa"/>
          </w:tcPr>
          <w:p w14:paraId="09C35347" w14:textId="1942F0CB"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$0.4 billion</w:t>
            </w:r>
          </w:p>
        </w:tc>
        <w:tc>
          <w:tcPr>
            <w:tcW w:w="2171" w:type="dxa"/>
          </w:tcPr>
          <w:p w14:paraId="255E720F" w14:textId="35457646"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$4.4 billion</w:t>
            </w:r>
          </w:p>
        </w:tc>
        <w:tc>
          <w:tcPr>
            <w:tcW w:w="2223" w:type="dxa"/>
          </w:tcPr>
          <w:p w14:paraId="334A63D2" w14:textId="0DEFD794"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$10.0 billion</w:t>
            </w:r>
          </w:p>
        </w:tc>
        <w:tc>
          <w:tcPr>
            <w:tcW w:w="1650" w:type="dxa"/>
          </w:tcPr>
          <w:p w14:paraId="47E435DF" w14:textId="12F8A841"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$14.8 billion</w:t>
            </w:r>
          </w:p>
        </w:tc>
      </w:tr>
      <w:tr w:rsidR="005E4DE9" w:rsidRPr="00AF22E8" w14:paraId="30FEC2E0" w14:textId="77777777" w:rsidTr="00D75D73">
        <w:trPr>
          <w:trHeight w:val="340"/>
        </w:trPr>
        <w:tc>
          <w:tcPr>
            <w:tcW w:w="1129" w:type="dxa"/>
          </w:tcPr>
          <w:p w14:paraId="51FE06E2" w14:textId="5F4A72B2" w:rsidR="005E4DE9" w:rsidRPr="00AF22E8" w:rsidRDefault="005E4DE9" w:rsidP="005E4DE9">
            <w:pPr>
              <w:spacing w:after="120" w:line="240" w:lineRule="auto"/>
              <w:rPr>
                <w:rFonts w:ascii="Arial" w:hAnsi="Arial" w:cs="Arial"/>
                <w:b/>
                <w:bCs/>
                <w:color w:val="000000" w:themeColor="text1"/>
                <w:sz w:val="22"/>
                <w:szCs w:val="22"/>
              </w:rPr>
            </w:pPr>
            <w:r w:rsidRPr="00AF22E8">
              <w:rPr>
                <w:rFonts w:ascii="Arial" w:hAnsi="Arial" w:cs="Arial"/>
                <w:b/>
                <w:bCs/>
              </w:rPr>
              <w:t>2022</w:t>
            </w:r>
          </w:p>
        </w:tc>
        <w:tc>
          <w:tcPr>
            <w:tcW w:w="1843" w:type="dxa"/>
          </w:tcPr>
          <w:p w14:paraId="195AED23" w14:textId="1ADEFAE6"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$3.3 billion</w:t>
            </w:r>
          </w:p>
        </w:tc>
        <w:tc>
          <w:tcPr>
            <w:tcW w:w="2171" w:type="dxa"/>
          </w:tcPr>
          <w:p w14:paraId="504813CF" w14:textId="38FA904B"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$7.9 billion</w:t>
            </w:r>
          </w:p>
        </w:tc>
        <w:tc>
          <w:tcPr>
            <w:tcW w:w="2223" w:type="dxa"/>
          </w:tcPr>
          <w:p w14:paraId="782CB999" w14:textId="30AFB85F"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$20.3 billion</w:t>
            </w:r>
          </w:p>
        </w:tc>
        <w:tc>
          <w:tcPr>
            <w:tcW w:w="1650" w:type="dxa"/>
          </w:tcPr>
          <w:p w14:paraId="66D914C5" w14:textId="32DFE894" w:rsidR="005E4DE9" w:rsidRPr="00AF22E8" w:rsidRDefault="005E4DE9" w:rsidP="005E4DE9">
            <w:pPr>
              <w:spacing w:after="120" w:line="240" w:lineRule="auto"/>
              <w:rPr>
                <w:rFonts w:ascii="Arial" w:hAnsi="Arial" w:cs="Arial"/>
                <w:color w:val="000000" w:themeColor="text1"/>
                <w:sz w:val="22"/>
                <w:szCs w:val="22"/>
              </w:rPr>
            </w:pPr>
            <w:r w:rsidRPr="00AF22E8">
              <w:rPr>
                <w:rFonts w:ascii="Arial" w:hAnsi="Arial" w:cs="Arial"/>
              </w:rPr>
              <w:t>$31.5 billion</w:t>
            </w:r>
          </w:p>
        </w:tc>
      </w:tr>
      <w:tr w:rsidR="0080585D" w:rsidRPr="00AF22E8" w14:paraId="440BDE3C" w14:textId="77777777" w:rsidTr="00D75D73">
        <w:trPr>
          <w:trHeight w:val="340"/>
        </w:trPr>
        <w:tc>
          <w:tcPr>
            <w:tcW w:w="1129" w:type="dxa"/>
          </w:tcPr>
          <w:p w14:paraId="6AAE3CF0" w14:textId="567E2574" w:rsidR="0080585D" w:rsidRDefault="0080585D" w:rsidP="0080585D">
            <w:pPr>
              <w:spacing w:after="120" w:line="240" w:lineRule="auto"/>
              <w:rPr>
                <w:rFonts w:ascii="Arial" w:hAnsi="Arial" w:cs="Arial"/>
                <w:b/>
                <w:bCs/>
              </w:rPr>
            </w:pPr>
            <w:r w:rsidRPr="00AF22E8">
              <w:rPr>
                <w:rFonts w:ascii="Arial" w:hAnsi="Arial" w:cs="Arial"/>
                <w:b/>
                <w:bCs/>
              </w:rPr>
              <w:t>202</w:t>
            </w:r>
            <w:r w:rsidR="00CF64F5">
              <w:rPr>
                <w:rFonts w:ascii="Arial" w:hAnsi="Arial" w:cs="Arial"/>
                <w:b/>
                <w:bCs/>
              </w:rPr>
              <w:t>3</w:t>
            </w:r>
          </w:p>
        </w:tc>
        <w:tc>
          <w:tcPr>
            <w:tcW w:w="1843" w:type="dxa"/>
          </w:tcPr>
          <w:p w14:paraId="3964BCDF" w14:textId="22713382" w:rsidR="0080585D" w:rsidRPr="00AF22E8" w:rsidRDefault="0080585D" w:rsidP="0080585D">
            <w:pPr>
              <w:spacing w:after="120" w:line="240" w:lineRule="auto"/>
              <w:rPr>
                <w:rFonts w:ascii="Arial" w:hAnsi="Arial" w:cs="Arial"/>
              </w:rPr>
            </w:pPr>
            <w:r w:rsidRPr="00AF22E8">
              <w:rPr>
                <w:rFonts w:ascii="Arial" w:hAnsi="Arial" w:cs="Arial"/>
              </w:rPr>
              <w:t>$</w:t>
            </w:r>
            <w:r w:rsidR="00CF64F5">
              <w:rPr>
                <w:rFonts w:ascii="Arial" w:hAnsi="Arial" w:cs="Arial"/>
              </w:rPr>
              <w:t>6</w:t>
            </w:r>
            <w:r w:rsidRPr="00AF22E8">
              <w:rPr>
                <w:rFonts w:ascii="Arial" w:hAnsi="Arial" w:cs="Arial"/>
              </w:rPr>
              <w:t>.</w:t>
            </w:r>
            <w:r w:rsidR="00CF64F5">
              <w:rPr>
                <w:rFonts w:ascii="Arial" w:hAnsi="Arial" w:cs="Arial"/>
              </w:rPr>
              <w:t>4</w:t>
            </w:r>
            <w:r w:rsidRPr="00AF22E8">
              <w:rPr>
                <w:rFonts w:ascii="Arial" w:hAnsi="Arial" w:cs="Arial"/>
              </w:rPr>
              <w:t xml:space="preserve"> billion</w:t>
            </w:r>
          </w:p>
        </w:tc>
        <w:tc>
          <w:tcPr>
            <w:tcW w:w="2171" w:type="dxa"/>
          </w:tcPr>
          <w:p w14:paraId="68AE9040" w14:textId="4D0B8D6B" w:rsidR="0080585D" w:rsidRPr="00AF22E8" w:rsidRDefault="0080585D" w:rsidP="0080585D">
            <w:pPr>
              <w:spacing w:after="120" w:line="240" w:lineRule="auto"/>
              <w:rPr>
                <w:rFonts w:ascii="Arial" w:hAnsi="Arial" w:cs="Arial"/>
              </w:rPr>
            </w:pPr>
            <w:r w:rsidRPr="00AF22E8">
              <w:rPr>
                <w:rFonts w:ascii="Arial" w:hAnsi="Arial" w:cs="Arial"/>
              </w:rPr>
              <w:t>$</w:t>
            </w:r>
            <w:r w:rsidR="002E4384">
              <w:rPr>
                <w:rFonts w:ascii="Arial" w:hAnsi="Arial" w:cs="Arial"/>
              </w:rPr>
              <w:t>8.6</w:t>
            </w:r>
            <w:r w:rsidRPr="00AF22E8">
              <w:rPr>
                <w:rFonts w:ascii="Arial" w:hAnsi="Arial" w:cs="Arial"/>
              </w:rPr>
              <w:t xml:space="preserve"> billion</w:t>
            </w:r>
          </w:p>
        </w:tc>
        <w:tc>
          <w:tcPr>
            <w:tcW w:w="2223" w:type="dxa"/>
          </w:tcPr>
          <w:p w14:paraId="0BE0CDE8" w14:textId="729B9401" w:rsidR="0080585D" w:rsidRPr="00AF22E8" w:rsidRDefault="0080585D" w:rsidP="0080585D">
            <w:pPr>
              <w:spacing w:after="120" w:line="240" w:lineRule="auto"/>
              <w:rPr>
                <w:rFonts w:ascii="Arial" w:hAnsi="Arial" w:cs="Arial"/>
              </w:rPr>
            </w:pPr>
            <w:r w:rsidRPr="00AF22E8">
              <w:rPr>
                <w:rFonts w:ascii="Arial" w:hAnsi="Arial" w:cs="Arial"/>
              </w:rPr>
              <w:t>$2</w:t>
            </w:r>
            <w:r w:rsidR="006C0730">
              <w:rPr>
                <w:rFonts w:ascii="Arial" w:hAnsi="Arial" w:cs="Arial"/>
              </w:rPr>
              <w:t>2</w:t>
            </w:r>
            <w:r w:rsidRPr="00AF22E8">
              <w:rPr>
                <w:rFonts w:ascii="Arial" w:hAnsi="Arial" w:cs="Arial"/>
              </w:rPr>
              <w:t>.</w:t>
            </w:r>
            <w:r w:rsidR="006C0730">
              <w:rPr>
                <w:rFonts w:ascii="Arial" w:hAnsi="Arial" w:cs="Arial"/>
              </w:rPr>
              <w:t>8</w:t>
            </w:r>
            <w:r w:rsidRPr="00AF22E8">
              <w:rPr>
                <w:rFonts w:ascii="Arial" w:hAnsi="Arial" w:cs="Arial"/>
              </w:rPr>
              <w:t xml:space="preserve"> billion</w:t>
            </w:r>
          </w:p>
        </w:tc>
        <w:tc>
          <w:tcPr>
            <w:tcW w:w="1650" w:type="dxa"/>
          </w:tcPr>
          <w:p w14:paraId="4A47EAEA" w14:textId="2391CE90" w:rsidR="0080585D" w:rsidRPr="00AF22E8" w:rsidRDefault="0080585D" w:rsidP="0080585D">
            <w:pPr>
              <w:spacing w:after="120" w:line="240" w:lineRule="auto"/>
              <w:rPr>
                <w:rFonts w:ascii="Arial" w:hAnsi="Arial" w:cs="Arial"/>
              </w:rPr>
            </w:pPr>
            <w:r w:rsidRPr="00AF22E8">
              <w:rPr>
                <w:rFonts w:ascii="Arial" w:hAnsi="Arial" w:cs="Arial"/>
              </w:rPr>
              <w:t>$3</w:t>
            </w:r>
            <w:r w:rsidR="00A20B17">
              <w:rPr>
                <w:rFonts w:ascii="Arial" w:hAnsi="Arial" w:cs="Arial"/>
              </w:rPr>
              <w:t>7</w:t>
            </w:r>
            <w:r w:rsidRPr="00AF22E8">
              <w:rPr>
                <w:rFonts w:ascii="Arial" w:hAnsi="Arial" w:cs="Arial"/>
              </w:rPr>
              <w:t>.</w:t>
            </w:r>
            <w:r w:rsidR="00A20B17">
              <w:rPr>
                <w:rFonts w:ascii="Arial" w:hAnsi="Arial" w:cs="Arial"/>
              </w:rPr>
              <w:t>8</w:t>
            </w:r>
            <w:r w:rsidRPr="00AF22E8">
              <w:rPr>
                <w:rFonts w:ascii="Arial" w:hAnsi="Arial" w:cs="Arial"/>
              </w:rPr>
              <w:t xml:space="preserve"> billion</w:t>
            </w:r>
          </w:p>
        </w:tc>
      </w:tr>
      <w:tr w:rsidR="0080585D" w:rsidRPr="00AF22E8" w14:paraId="0C88BE47" w14:textId="77777777" w:rsidTr="00D75D73">
        <w:trPr>
          <w:trHeight w:val="340"/>
        </w:trPr>
        <w:tc>
          <w:tcPr>
            <w:tcW w:w="1129" w:type="dxa"/>
          </w:tcPr>
          <w:p w14:paraId="3886E823" w14:textId="461EEF9B" w:rsidR="0080585D" w:rsidRPr="00AF22E8" w:rsidRDefault="0080585D" w:rsidP="0080585D">
            <w:pPr>
              <w:spacing w:after="120" w:line="240" w:lineRule="auto"/>
              <w:rPr>
                <w:rFonts w:ascii="Arial" w:hAnsi="Arial" w:cs="Arial"/>
                <w:b/>
                <w:bCs/>
                <w:color w:val="000000" w:themeColor="text1"/>
                <w:sz w:val="22"/>
                <w:szCs w:val="22"/>
              </w:rPr>
            </w:pPr>
            <w:r>
              <w:rPr>
                <w:rFonts w:ascii="Arial" w:hAnsi="Arial" w:cs="Arial"/>
                <w:b/>
                <w:bCs/>
              </w:rPr>
              <w:t>2024</w:t>
            </w:r>
          </w:p>
        </w:tc>
        <w:tc>
          <w:tcPr>
            <w:tcW w:w="1843" w:type="dxa"/>
          </w:tcPr>
          <w:p w14:paraId="2A845B9C" w14:textId="00F68017"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$8.</w:t>
            </w:r>
            <w:r w:rsidR="002E4384">
              <w:rPr>
                <w:rFonts w:ascii="Arial" w:hAnsi="Arial" w:cs="Arial"/>
              </w:rPr>
              <w:t>9</w:t>
            </w:r>
            <w:r w:rsidRPr="00AF22E8">
              <w:rPr>
                <w:rFonts w:ascii="Arial" w:hAnsi="Arial" w:cs="Arial"/>
              </w:rPr>
              <w:t xml:space="preserve"> billion</w:t>
            </w:r>
          </w:p>
        </w:tc>
        <w:tc>
          <w:tcPr>
            <w:tcW w:w="2171" w:type="dxa"/>
          </w:tcPr>
          <w:p w14:paraId="32BB41CB" w14:textId="5632C3FB"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2E4384">
              <w:rPr>
                <w:rFonts w:ascii="Arial" w:hAnsi="Arial" w:cs="Arial"/>
              </w:rPr>
              <w:t>8.5</w:t>
            </w:r>
            <w:r w:rsidRPr="00AF22E8">
              <w:rPr>
                <w:rFonts w:ascii="Arial" w:hAnsi="Arial" w:cs="Arial"/>
              </w:rPr>
              <w:t xml:space="preserve"> billion</w:t>
            </w:r>
          </w:p>
        </w:tc>
        <w:tc>
          <w:tcPr>
            <w:tcW w:w="2223" w:type="dxa"/>
          </w:tcPr>
          <w:p w14:paraId="54D7E595" w14:textId="41254B10"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6C0730">
              <w:rPr>
                <w:rFonts w:ascii="Arial" w:hAnsi="Arial" w:cs="Arial"/>
              </w:rPr>
              <w:t>22</w:t>
            </w:r>
            <w:r w:rsidRPr="00AF22E8">
              <w:rPr>
                <w:rFonts w:ascii="Arial" w:hAnsi="Arial" w:cs="Arial"/>
              </w:rPr>
              <w:t>.</w:t>
            </w:r>
            <w:r w:rsidR="006C0730">
              <w:rPr>
                <w:rFonts w:ascii="Arial" w:hAnsi="Arial" w:cs="Arial"/>
              </w:rPr>
              <w:t>7</w:t>
            </w:r>
            <w:r w:rsidRPr="00AF22E8">
              <w:rPr>
                <w:rFonts w:ascii="Arial" w:hAnsi="Arial" w:cs="Arial"/>
              </w:rPr>
              <w:t xml:space="preserve"> billion</w:t>
            </w:r>
          </w:p>
        </w:tc>
        <w:tc>
          <w:tcPr>
            <w:tcW w:w="1650" w:type="dxa"/>
          </w:tcPr>
          <w:p w14:paraId="798F60FD" w14:textId="24A93DCA"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A20B17">
              <w:rPr>
                <w:rFonts w:ascii="Arial" w:hAnsi="Arial" w:cs="Arial"/>
              </w:rPr>
              <w:t>40</w:t>
            </w:r>
            <w:r w:rsidRPr="00AF22E8">
              <w:rPr>
                <w:rFonts w:ascii="Arial" w:hAnsi="Arial" w:cs="Arial"/>
              </w:rPr>
              <w:t>.</w:t>
            </w:r>
            <w:r w:rsidR="00A20B17">
              <w:rPr>
                <w:rFonts w:ascii="Arial" w:hAnsi="Arial" w:cs="Arial"/>
              </w:rPr>
              <w:t>1</w:t>
            </w:r>
            <w:r w:rsidRPr="00AF22E8">
              <w:rPr>
                <w:rFonts w:ascii="Arial" w:hAnsi="Arial" w:cs="Arial"/>
              </w:rPr>
              <w:t xml:space="preserve"> billion</w:t>
            </w:r>
          </w:p>
        </w:tc>
      </w:tr>
      <w:tr w:rsidR="0080585D" w:rsidRPr="00AF22E8" w14:paraId="66556978" w14:textId="77777777" w:rsidTr="00D75D73">
        <w:trPr>
          <w:trHeight w:val="340"/>
        </w:trPr>
        <w:tc>
          <w:tcPr>
            <w:tcW w:w="1129" w:type="dxa"/>
          </w:tcPr>
          <w:p w14:paraId="74F860B6" w14:textId="160CD937" w:rsidR="0080585D" w:rsidRPr="00AF22E8" w:rsidRDefault="0080585D" w:rsidP="0080585D">
            <w:pPr>
              <w:spacing w:after="120" w:line="240" w:lineRule="auto"/>
              <w:rPr>
                <w:rFonts w:ascii="Arial" w:hAnsi="Arial" w:cs="Arial"/>
                <w:b/>
                <w:bCs/>
                <w:color w:val="000000" w:themeColor="text1"/>
                <w:sz w:val="22"/>
                <w:szCs w:val="22"/>
              </w:rPr>
            </w:pPr>
            <w:r w:rsidRPr="00AF22E8">
              <w:rPr>
                <w:rFonts w:ascii="Arial" w:hAnsi="Arial" w:cs="Arial"/>
                <w:b/>
                <w:bCs/>
              </w:rPr>
              <w:t>202</w:t>
            </w:r>
            <w:r w:rsidR="00CF64F5">
              <w:rPr>
                <w:rFonts w:ascii="Arial" w:hAnsi="Arial" w:cs="Arial"/>
                <w:b/>
                <w:bCs/>
              </w:rPr>
              <w:t>5</w:t>
            </w:r>
          </w:p>
        </w:tc>
        <w:tc>
          <w:tcPr>
            <w:tcW w:w="1843" w:type="dxa"/>
          </w:tcPr>
          <w:p w14:paraId="77A32BC9" w14:textId="1C4D4F81"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2E4384">
              <w:rPr>
                <w:rFonts w:ascii="Arial" w:hAnsi="Arial" w:cs="Arial"/>
              </w:rPr>
              <w:t>10</w:t>
            </w:r>
            <w:r w:rsidRPr="00AF22E8">
              <w:rPr>
                <w:rFonts w:ascii="Arial" w:hAnsi="Arial" w:cs="Arial"/>
              </w:rPr>
              <w:t>.</w:t>
            </w:r>
            <w:r w:rsidR="002E4384">
              <w:rPr>
                <w:rFonts w:ascii="Arial" w:hAnsi="Arial" w:cs="Arial"/>
              </w:rPr>
              <w:t>0</w:t>
            </w:r>
            <w:r w:rsidRPr="00AF22E8">
              <w:rPr>
                <w:rFonts w:ascii="Arial" w:hAnsi="Arial" w:cs="Arial"/>
              </w:rPr>
              <w:t xml:space="preserve"> billion</w:t>
            </w:r>
          </w:p>
        </w:tc>
        <w:tc>
          <w:tcPr>
            <w:tcW w:w="2171" w:type="dxa"/>
          </w:tcPr>
          <w:p w14:paraId="49D3C005" w14:textId="59A1897F"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2E4384">
              <w:rPr>
                <w:rFonts w:ascii="Arial" w:hAnsi="Arial" w:cs="Arial"/>
              </w:rPr>
              <w:t>8.8</w:t>
            </w:r>
            <w:r w:rsidRPr="00AF22E8">
              <w:rPr>
                <w:rFonts w:ascii="Arial" w:hAnsi="Arial" w:cs="Arial"/>
              </w:rPr>
              <w:t xml:space="preserve"> billion</w:t>
            </w:r>
          </w:p>
        </w:tc>
        <w:tc>
          <w:tcPr>
            <w:tcW w:w="2223" w:type="dxa"/>
          </w:tcPr>
          <w:p w14:paraId="5B7A5F59" w14:textId="2342FA3B"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6C0730">
              <w:rPr>
                <w:rFonts w:ascii="Arial" w:hAnsi="Arial" w:cs="Arial"/>
              </w:rPr>
              <w:t>23</w:t>
            </w:r>
            <w:r w:rsidRPr="00AF22E8">
              <w:rPr>
                <w:rFonts w:ascii="Arial" w:hAnsi="Arial" w:cs="Arial"/>
              </w:rPr>
              <w:t>.</w:t>
            </w:r>
            <w:r w:rsidR="006C0730">
              <w:rPr>
                <w:rFonts w:ascii="Arial" w:hAnsi="Arial" w:cs="Arial"/>
              </w:rPr>
              <w:t>1</w:t>
            </w:r>
            <w:r w:rsidRPr="00AF22E8">
              <w:rPr>
                <w:rFonts w:ascii="Arial" w:hAnsi="Arial" w:cs="Arial"/>
              </w:rPr>
              <w:t xml:space="preserve"> billion</w:t>
            </w:r>
          </w:p>
        </w:tc>
        <w:tc>
          <w:tcPr>
            <w:tcW w:w="1650" w:type="dxa"/>
          </w:tcPr>
          <w:p w14:paraId="00A8C9E1" w14:textId="6B412793"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A20B17">
              <w:rPr>
                <w:rFonts w:ascii="Arial" w:hAnsi="Arial" w:cs="Arial"/>
              </w:rPr>
              <w:t>4</w:t>
            </w:r>
            <w:r w:rsidRPr="00AF22E8">
              <w:rPr>
                <w:rFonts w:ascii="Arial" w:hAnsi="Arial" w:cs="Arial"/>
              </w:rPr>
              <w:t>1.</w:t>
            </w:r>
            <w:r w:rsidR="00A20B17">
              <w:rPr>
                <w:rFonts w:ascii="Arial" w:hAnsi="Arial" w:cs="Arial"/>
              </w:rPr>
              <w:t>8</w:t>
            </w:r>
            <w:r w:rsidRPr="00AF22E8">
              <w:rPr>
                <w:rFonts w:ascii="Arial" w:hAnsi="Arial" w:cs="Arial"/>
              </w:rPr>
              <w:t xml:space="preserve"> billion</w:t>
            </w:r>
          </w:p>
        </w:tc>
      </w:tr>
      <w:tr w:rsidR="0080585D" w:rsidRPr="00AF22E8" w14:paraId="66C596E9" w14:textId="77777777" w:rsidTr="00D75D73">
        <w:trPr>
          <w:trHeight w:val="340"/>
        </w:trPr>
        <w:tc>
          <w:tcPr>
            <w:tcW w:w="1129" w:type="dxa"/>
          </w:tcPr>
          <w:p w14:paraId="75BC0B4A" w14:textId="4049EDFF" w:rsidR="0080585D" w:rsidRPr="00AF22E8" w:rsidRDefault="0080585D" w:rsidP="0080585D">
            <w:pPr>
              <w:spacing w:after="120" w:line="240" w:lineRule="auto"/>
              <w:rPr>
                <w:rFonts w:ascii="Arial" w:hAnsi="Arial" w:cs="Arial"/>
                <w:b/>
                <w:bCs/>
                <w:color w:val="000000" w:themeColor="text1"/>
                <w:sz w:val="22"/>
                <w:szCs w:val="22"/>
              </w:rPr>
            </w:pPr>
            <w:r w:rsidRPr="00AF22E8">
              <w:rPr>
                <w:rFonts w:ascii="Arial" w:hAnsi="Arial" w:cs="Arial"/>
                <w:b/>
                <w:bCs/>
              </w:rPr>
              <w:t>202</w:t>
            </w:r>
            <w:r w:rsidR="00CF64F5">
              <w:rPr>
                <w:rFonts w:ascii="Arial" w:hAnsi="Arial" w:cs="Arial"/>
                <w:b/>
                <w:bCs/>
              </w:rPr>
              <w:t>6</w:t>
            </w:r>
          </w:p>
        </w:tc>
        <w:tc>
          <w:tcPr>
            <w:tcW w:w="1843" w:type="dxa"/>
          </w:tcPr>
          <w:p w14:paraId="4A0A145D" w14:textId="787CD159"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2E4384">
              <w:rPr>
                <w:rFonts w:ascii="Arial" w:hAnsi="Arial" w:cs="Arial"/>
              </w:rPr>
              <w:t>10</w:t>
            </w:r>
            <w:r w:rsidRPr="00AF22E8">
              <w:rPr>
                <w:rFonts w:ascii="Arial" w:hAnsi="Arial" w:cs="Arial"/>
              </w:rPr>
              <w:t>.</w:t>
            </w:r>
            <w:r w:rsidR="002E4384">
              <w:rPr>
                <w:rFonts w:ascii="Arial" w:hAnsi="Arial" w:cs="Arial"/>
              </w:rPr>
              <w:t>9</w:t>
            </w:r>
            <w:r w:rsidRPr="00AF22E8">
              <w:rPr>
                <w:rFonts w:ascii="Arial" w:hAnsi="Arial" w:cs="Arial"/>
              </w:rPr>
              <w:t xml:space="preserve"> billion</w:t>
            </w:r>
          </w:p>
        </w:tc>
        <w:tc>
          <w:tcPr>
            <w:tcW w:w="2171" w:type="dxa"/>
          </w:tcPr>
          <w:p w14:paraId="7FBBFEA3" w14:textId="772ACDCC"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$9.</w:t>
            </w:r>
            <w:r w:rsidR="006C0730">
              <w:rPr>
                <w:rFonts w:ascii="Arial" w:hAnsi="Arial" w:cs="Arial"/>
              </w:rPr>
              <w:t>2</w:t>
            </w:r>
            <w:r w:rsidRPr="00AF22E8">
              <w:rPr>
                <w:rFonts w:ascii="Arial" w:hAnsi="Arial" w:cs="Arial"/>
              </w:rPr>
              <w:t xml:space="preserve"> billion</w:t>
            </w:r>
          </w:p>
        </w:tc>
        <w:tc>
          <w:tcPr>
            <w:tcW w:w="2223" w:type="dxa"/>
          </w:tcPr>
          <w:p w14:paraId="6A249EA9" w14:textId="5167119C"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$24.</w:t>
            </w:r>
            <w:r w:rsidR="006C0730">
              <w:rPr>
                <w:rFonts w:ascii="Arial" w:hAnsi="Arial" w:cs="Arial"/>
              </w:rPr>
              <w:t>0</w:t>
            </w:r>
            <w:r w:rsidRPr="00AF22E8">
              <w:rPr>
                <w:rFonts w:ascii="Arial" w:hAnsi="Arial" w:cs="Arial"/>
              </w:rPr>
              <w:t xml:space="preserve"> billion</w:t>
            </w:r>
          </w:p>
        </w:tc>
        <w:tc>
          <w:tcPr>
            <w:tcW w:w="1650" w:type="dxa"/>
          </w:tcPr>
          <w:p w14:paraId="19E7A585" w14:textId="75DD8B4E"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$4</w:t>
            </w:r>
            <w:r w:rsidR="00A20B17">
              <w:rPr>
                <w:rFonts w:ascii="Arial" w:hAnsi="Arial" w:cs="Arial"/>
              </w:rPr>
              <w:t>4</w:t>
            </w:r>
            <w:r w:rsidRPr="00AF22E8">
              <w:rPr>
                <w:rFonts w:ascii="Arial" w:hAnsi="Arial" w:cs="Arial"/>
              </w:rPr>
              <w:t>.</w:t>
            </w:r>
            <w:r w:rsidR="00A20B17">
              <w:rPr>
                <w:rFonts w:ascii="Arial" w:hAnsi="Arial" w:cs="Arial"/>
              </w:rPr>
              <w:t>2</w:t>
            </w:r>
            <w:r w:rsidRPr="00AF22E8">
              <w:rPr>
                <w:rFonts w:ascii="Arial" w:hAnsi="Arial" w:cs="Arial"/>
              </w:rPr>
              <w:t xml:space="preserve"> billion</w:t>
            </w:r>
          </w:p>
        </w:tc>
      </w:tr>
      <w:tr w:rsidR="0080585D" w:rsidRPr="00AF22E8" w14:paraId="354F9691" w14:textId="77777777" w:rsidTr="00D75D73">
        <w:trPr>
          <w:trHeight w:val="340"/>
        </w:trPr>
        <w:tc>
          <w:tcPr>
            <w:tcW w:w="1129" w:type="dxa"/>
          </w:tcPr>
          <w:p w14:paraId="453B604E" w14:textId="710A6AC2" w:rsidR="0080585D" w:rsidRPr="00AF22E8" w:rsidRDefault="0080585D" w:rsidP="0080585D">
            <w:pPr>
              <w:spacing w:after="120" w:line="240" w:lineRule="auto"/>
              <w:rPr>
                <w:rFonts w:ascii="Arial" w:hAnsi="Arial" w:cs="Arial"/>
                <w:b/>
                <w:bCs/>
                <w:color w:val="000000" w:themeColor="text1"/>
                <w:sz w:val="22"/>
                <w:szCs w:val="22"/>
              </w:rPr>
            </w:pPr>
            <w:r w:rsidRPr="00AF22E8">
              <w:rPr>
                <w:rFonts w:ascii="Arial" w:hAnsi="Arial" w:cs="Arial"/>
                <w:b/>
                <w:bCs/>
              </w:rPr>
              <w:t>202</w:t>
            </w:r>
            <w:r w:rsidR="00CF64F5">
              <w:rPr>
                <w:rFonts w:ascii="Arial" w:hAnsi="Arial" w:cs="Arial"/>
                <w:b/>
                <w:bCs/>
              </w:rPr>
              <w:t>7</w:t>
            </w:r>
          </w:p>
        </w:tc>
        <w:tc>
          <w:tcPr>
            <w:tcW w:w="1843" w:type="dxa"/>
          </w:tcPr>
          <w:p w14:paraId="11EA6D40" w14:textId="0A9E7DB6"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$1</w:t>
            </w:r>
            <w:r w:rsidR="002E4384">
              <w:rPr>
                <w:rFonts w:ascii="Arial" w:hAnsi="Arial" w:cs="Arial"/>
              </w:rPr>
              <w:t>1</w:t>
            </w:r>
            <w:r w:rsidRPr="00AF22E8">
              <w:rPr>
                <w:rFonts w:ascii="Arial" w:hAnsi="Arial" w:cs="Arial"/>
              </w:rPr>
              <w:t>.7 billion</w:t>
            </w:r>
          </w:p>
        </w:tc>
        <w:tc>
          <w:tcPr>
            <w:tcW w:w="2171" w:type="dxa"/>
          </w:tcPr>
          <w:p w14:paraId="696DECB7" w14:textId="700DEE8C"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w:t>
            </w:r>
            <w:r w:rsidR="006C0730">
              <w:rPr>
                <w:rFonts w:ascii="Arial" w:hAnsi="Arial" w:cs="Arial"/>
              </w:rPr>
              <w:t>9</w:t>
            </w:r>
            <w:r w:rsidRPr="00AF22E8">
              <w:rPr>
                <w:rFonts w:ascii="Arial" w:hAnsi="Arial" w:cs="Arial"/>
              </w:rPr>
              <w:t>.</w:t>
            </w:r>
            <w:r w:rsidR="006C0730">
              <w:rPr>
                <w:rFonts w:ascii="Arial" w:hAnsi="Arial" w:cs="Arial"/>
              </w:rPr>
              <w:t>8</w:t>
            </w:r>
            <w:r w:rsidRPr="00AF22E8">
              <w:rPr>
                <w:rFonts w:ascii="Arial" w:hAnsi="Arial" w:cs="Arial"/>
              </w:rPr>
              <w:t xml:space="preserve"> billion</w:t>
            </w:r>
          </w:p>
        </w:tc>
        <w:tc>
          <w:tcPr>
            <w:tcW w:w="2223" w:type="dxa"/>
          </w:tcPr>
          <w:p w14:paraId="391F18B9" w14:textId="4B1A0E6C"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$25.2 billion</w:t>
            </w:r>
          </w:p>
        </w:tc>
        <w:tc>
          <w:tcPr>
            <w:tcW w:w="1650" w:type="dxa"/>
          </w:tcPr>
          <w:p w14:paraId="79044ECA" w14:textId="692A1C93"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$46.</w:t>
            </w:r>
            <w:r w:rsidR="00A20B17">
              <w:rPr>
                <w:rFonts w:ascii="Arial" w:hAnsi="Arial" w:cs="Arial"/>
              </w:rPr>
              <w:t>8</w:t>
            </w:r>
            <w:r w:rsidRPr="00AF22E8">
              <w:rPr>
                <w:rFonts w:ascii="Arial" w:hAnsi="Arial" w:cs="Arial"/>
              </w:rPr>
              <w:t xml:space="preserve"> billion</w:t>
            </w:r>
          </w:p>
        </w:tc>
      </w:tr>
      <w:tr w:rsidR="0080585D" w:rsidRPr="00AF22E8" w14:paraId="3582CF8C" w14:textId="77777777" w:rsidTr="00D75D73">
        <w:trPr>
          <w:trHeight w:val="340"/>
        </w:trPr>
        <w:tc>
          <w:tcPr>
            <w:tcW w:w="1129" w:type="dxa"/>
          </w:tcPr>
          <w:p w14:paraId="495003D4" w14:textId="3E31B87A" w:rsidR="0080585D" w:rsidRPr="00AF22E8" w:rsidRDefault="0080585D" w:rsidP="0080585D">
            <w:pPr>
              <w:spacing w:after="120" w:line="240" w:lineRule="auto"/>
              <w:rPr>
                <w:rFonts w:ascii="Arial" w:hAnsi="Arial" w:cs="Arial"/>
                <w:b/>
                <w:bCs/>
                <w:color w:val="000000" w:themeColor="text1"/>
                <w:sz w:val="22"/>
                <w:szCs w:val="22"/>
              </w:rPr>
            </w:pPr>
            <w:r w:rsidRPr="00AF22E8">
              <w:rPr>
                <w:rFonts w:ascii="Arial" w:hAnsi="Arial" w:cs="Arial"/>
                <w:b/>
                <w:bCs/>
              </w:rPr>
              <w:t>202</w:t>
            </w:r>
            <w:r w:rsidR="00CF64F5">
              <w:rPr>
                <w:rFonts w:ascii="Arial" w:hAnsi="Arial" w:cs="Arial"/>
                <w:b/>
                <w:bCs/>
              </w:rPr>
              <w:t>8</w:t>
            </w:r>
          </w:p>
        </w:tc>
        <w:tc>
          <w:tcPr>
            <w:tcW w:w="1843" w:type="dxa"/>
          </w:tcPr>
          <w:p w14:paraId="1DAFBCFA" w14:textId="574E259E"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$1</w:t>
            </w:r>
            <w:r w:rsidR="002E4384">
              <w:rPr>
                <w:rFonts w:ascii="Arial" w:hAnsi="Arial" w:cs="Arial"/>
              </w:rPr>
              <w:t>2</w:t>
            </w:r>
            <w:r w:rsidRPr="00AF22E8">
              <w:rPr>
                <w:rFonts w:ascii="Arial" w:hAnsi="Arial" w:cs="Arial"/>
              </w:rPr>
              <w:t>.</w:t>
            </w:r>
            <w:r w:rsidR="002E4384">
              <w:rPr>
                <w:rFonts w:ascii="Arial" w:hAnsi="Arial" w:cs="Arial"/>
              </w:rPr>
              <w:t>4</w:t>
            </w:r>
            <w:r w:rsidRPr="00AF22E8">
              <w:rPr>
                <w:rFonts w:ascii="Arial" w:hAnsi="Arial" w:cs="Arial"/>
              </w:rPr>
              <w:t xml:space="preserve"> billion</w:t>
            </w:r>
          </w:p>
        </w:tc>
        <w:tc>
          <w:tcPr>
            <w:tcW w:w="2171" w:type="dxa"/>
          </w:tcPr>
          <w:p w14:paraId="79F177F1" w14:textId="55275D64"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$10.</w:t>
            </w:r>
            <w:r w:rsidR="006C0730">
              <w:rPr>
                <w:rFonts w:ascii="Arial" w:hAnsi="Arial" w:cs="Arial"/>
              </w:rPr>
              <w:t>2</w:t>
            </w:r>
            <w:r w:rsidRPr="00AF22E8">
              <w:rPr>
                <w:rFonts w:ascii="Arial" w:hAnsi="Arial" w:cs="Arial"/>
              </w:rPr>
              <w:t xml:space="preserve"> billion</w:t>
            </w:r>
          </w:p>
        </w:tc>
        <w:tc>
          <w:tcPr>
            <w:tcW w:w="2223" w:type="dxa"/>
          </w:tcPr>
          <w:p w14:paraId="3F935070" w14:textId="0B8699ED" w:rsidR="0080585D" w:rsidRPr="00C44FD9" w:rsidRDefault="0080585D" w:rsidP="0080585D">
            <w:pPr>
              <w:spacing w:after="120" w:line="240" w:lineRule="auto"/>
              <w:rPr>
                <w:rFonts w:ascii="Arial" w:hAnsi="Arial" w:cs="Arial"/>
              </w:rPr>
            </w:pPr>
            <w:r w:rsidRPr="00AF22E8">
              <w:rPr>
                <w:rFonts w:ascii="Arial" w:hAnsi="Arial" w:cs="Arial"/>
              </w:rPr>
              <w:t>$26.</w:t>
            </w:r>
            <w:r w:rsidR="006C0730">
              <w:rPr>
                <w:rFonts w:ascii="Arial" w:hAnsi="Arial" w:cs="Arial"/>
              </w:rPr>
              <w:t>3</w:t>
            </w:r>
            <w:r w:rsidRPr="00AF22E8">
              <w:rPr>
                <w:rFonts w:ascii="Arial" w:hAnsi="Arial" w:cs="Arial"/>
              </w:rPr>
              <w:t xml:space="preserve"> billion</w:t>
            </w:r>
          </w:p>
        </w:tc>
        <w:tc>
          <w:tcPr>
            <w:tcW w:w="1650" w:type="dxa"/>
          </w:tcPr>
          <w:p w14:paraId="1181A425" w14:textId="7E34E4FB"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$4</w:t>
            </w:r>
            <w:r w:rsidR="00A20B17">
              <w:rPr>
                <w:rFonts w:ascii="Arial" w:hAnsi="Arial" w:cs="Arial"/>
              </w:rPr>
              <w:t>9</w:t>
            </w:r>
            <w:r w:rsidRPr="00AF22E8">
              <w:rPr>
                <w:rFonts w:ascii="Arial" w:hAnsi="Arial" w:cs="Arial"/>
              </w:rPr>
              <w:t>.</w:t>
            </w:r>
            <w:r w:rsidR="00A20B17">
              <w:rPr>
                <w:rFonts w:ascii="Arial" w:hAnsi="Arial" w:cs="Arial"/>
              </w:rPr>
              <w:t>0</w:t>
            </w:r>
            <w:r w:rsidRPr="00AF22E8">
              <w:rPr>
                <w:rFonts w:ascii="Arial" w:hAnsi="Arial" w:cs="Arial"/>
              </w:rPr>
              <w:t xml:space="preserve"> billion</w:t>
            </w:r>
          </w:p>
        </w:tc>
      </w:tr>
      <w:tr w:rsidR="0080585D" w:rsidRPr="00AF22E8" w14:paraId="68219675" w14:textId="77777777" w:rsidTr="00D75D73">
        <w:trPr>
          <w:trHeight w:val="340"/>
        </w:trPr>
        <w:tc>
          <w:tcPr>
            <w:tcW w:w="1129" w:type="dxa"/>
          </w:tcPr>
          <w:p w14:paraId="7660F8DC" w14:textId="66A8E48E" w:rsidR="0080585D" w:rsidRPr="00AF22E8" w:rsidRDefault="0080585D" w:rsidP="0080585D">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w:t>
            </w:r>
            <w:r w:rsidR="00CF64F5">
              <w:rPr>
                <w:rFonts w:ascii="Arial" w:hAnsi="Arial" w:cs="Arial"/>
                <w:b/>
                <w:bCs/>
                <w:color w:val="000000" w:themeColor="text1"/>
                <w:sz w:val="22"/>
                <w:szCs w:val="22"/>
              </w:rPr>
              <w:t>9</w:t>
            </w:r>
          </w:p>
        </w:tc>
        <w:tc>
          <w:tcPr>
            <w:tcW w:w="1843" w:type="dxa"/>
          </w:tcPr>
          <w:p w14:paraId="0138094F" w14:textId="41C356C8"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$1</w:t>
            </w:r>
            <w:r w:rsidR="002E4384">
              <w:rPr>
                <w:rFonts w:ascii="Arial" w:hAnsi="Arial" w:cs="Arial"/>
              </w:rPr>
              <w:t>3</w:t>
            </w:r>
            <w:r w:rsidRPr="00AF22E8">
              <w:rPr>
                <w:rFonts w:ascii="Arial" w:hAnsi="Arial" w:cs="Arial"/>
              </w:rPr>
              <w:t>.</w:t>
            </w:r>
            <w:r w:rsidR="002E4384">
              <w:rPr>
                <w:rFonts w:ascii="Arial" w:hAnsi="Arial" w:cs="Arial"/>
              </w:rPr>
              <w:t>0</w:t>
            </w:r>
            <w:r w:rsidRPr="00AF22E8">
              <w:rPr>
                <w:rFonts w:ascii="Arial" w:hAnsi="Arial" w:cs="Arial"/>
              </w:rPr>
              <w:t xml:space="preserve"> billion</w:t>
            </w:r>
          </w:p>
        </w:tc>
        <w:tc>
          <w:tcPr>
            <w:tcW w:w="2171" w:type="dxa"/>
          </w:tcPr>
          <w:p w14:paraId="5DC9D910" w14:textId="47BC0A26"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$1</w:t>
            </w:r>
            <w:r w:rsidR="006C0730">
              <w:rPr>
                <w:rFonts w:ascii="Arial" w:hAnsi="Arial" w:cs="Arial"/>
              </w:rPr>
              <w:t>0</w:t>
            </w:r>
            <w:r w:rsidRPr="00AF22E8">
              <w:rPr>
                <w:rFonts w:ascii="Arial" w:hAnsi="Arial" w:cs="Arial"/>
              </w:rPr>
              <w:t>.</w:t>
            </w:r>
            <w:r w:rsidR="006C0730">
              <w:rPr>
                <w:rFonts w:ascii="Arial" w:hAnsi="Arial" w:cs="Arial"/>
              </w:rPr>
              <w:t>6</w:t>
            </w:r>
            <w:r w:rsidRPr="00AF22E8">
              <w:rPr>
                <w:rFonts w:ascii="Arial" w:hAnsi="Arial" w:cs="Arial"/>
              </w:rPr>
              <w:t xml:space="preserve"> billion</w:t>
            </w:r>
          </w:p>
        </w:tc>
        <w:tc>
          <w:tcPr>
            <w:tcW w:w="2223" w:type="dxa"/>
          </w:tcPr>
          <w:p w14:paraId="239931F4" w14:textId="34E88EFA"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$27.</w:t>
            </w:r>
            <w:r w:rsidR="00A20B17">
              <w:rPr>
                <w:rFonts w:ascii="Arial" w:hAnsi="Arial" w:cs="Arial"/>
              </w:rPr>
              <w:t>4</w:t>
            </w:r>
            <w:r w:rsidRPr="00AF22E8">
              <w:rPr>
                <w:rFonts w:ascii="Arial" w:hAnsi="Arial" w:cs="Arial"/>
              </w:rPr>
              <w:t xml:space="preserve"> billion</w:t>
            </w:r>
          </w:p>
        </w:tc>
        <w:tc>
          <w:tcPr>
            <w:tcW w:w="1650" w:type="dxa"/>
          </w:tcPr>
          <w:p w14:paraId="471E153D" w14:textId="261317C8" w:rsidR="0080585D" w:rsidRPr="00AF22E8" w:rsidRDefault="0080585D" w:rsidP="0080585D">
            <w:pPr>
              <w:spacing w:after="120" w:line="240" w:lineRule="auto"/>
              <w:rPr>
                <w:rFonts w:ascii="Arial" w:hAnsi="Arial" w:cs="Arial"/>
                <w:color w:val="000000" w:themeColor="text1"/>
                <w:sz w:val="22"/>
                <w:szCs w:val="22"/>
              </w:rPr>
            </w:pPr>
            <w:r w:rsidRPr="00AF22E8">
              <w:rPr>
                <w:rFonts w:ascii="Arial" w:hAnsi="Arial" w:cs="Arial"/>
              </w:rPr>
              <w:t>$50.9 billion</w:t>
            </w:r>
          </w:p>
        </w:tc>
      </w:tr>
    </w:tbl>
    <w:p w14:paraId="5A827A05" w14:textId="77777777" w:rsidR="001B5569" w:rsidRPr="00AF22E8" w:rsidRDefault="001B5569" w:rsidP="00DE2757">
      <w:pPr>
        <w:rPr>
          <w:rFonts w:ascii="Arial" w:hAnsi="Arial" w:cs="Arial"/>
        </w:rPr>
      </w:pPr>
    </w:p>
    <w:p w14:paraId="2EB50B9C" w14:textId="586E2B36" w:rsidR="00CE57AA" w:rsidRPr="00AF22E8" w:rsidRDefault="005940EB" w:rsidP="00CE57AA">
      <w:pPr>
        <w:pStyle w:val="Heading1"/>
        <w:rPr>
          <w:rFonts w:ascii="Arial" w:hAnsi="Arial" w:cs="Arial"/>
        </w:rPr>
      </w:pPr>
      <w:bookmarkStart w:id="24" w:name="_Toc184116515"/>
      <w:r>
        <w:rPr>
          <w:rFonts w:ascii="Arial" w:hAnsi="Arial" w:cs="Arial"/>
        </w:rPr>
        <w:t xml:space="preserve">3.0 </w:t>
      </w:r>
      <w:r w:rsidR="00CE57AA" w:rsidRPr="00AF22E8">
        <w:rPr>
          <w:rFonts w:ascii="Arial" w:hAnsi="Arial" w:cs="Arial"/>
        </w:rPr>
        <w:t>Tourism spend forecasts for Victoria</w:t>
      </w:r>
      <w:bookmarkEnd w:id="24"/>
    </w:p>
    <w:p w14:paraId="5EEF3CAB" w14:textId="77777777" w:rsidR="0055347A" w:rsidRPr="0055347A" w:rsidRDefault="0055347A" w:rsidP="0055347A">
      <w:pPr>
        <w:rPr>
          <w:rFonts w:ascii="Arial" w:hAnsi="Arial" w:cs="Arial"/>
          <w:color w:val="000000" w:themeColor="text1"/>
          <w:sz w:val="4"/>
          <w:szCs w:val="4"/>
        </w:rPr>
      </w:pPr>
    </w:p>
    <w:p w14:paraId="728B31F1" w14:textId="32D2E02F" w:rsidR="00CE57AA" w:rsidRPr="00AF22E8" w:rsidRDefault="00C63194" w:rsidP="00BF27C1">
      <w:pPr>
        <w:pStyle w:val="ListParagraph"/>
        <w:numPr>
          <w:ilvl w:val="0"/>
          <w:numId w:val="3"/>
        </w:numPr>
        <w:rPr>
          <w:rFonts w:ascii="Arial" w:hAnsi="Arial" w:cs="Arial"/>
          <w:color w:val="000000" w:themeColor="text1"/>
          <w:sz w:val="22"/>
          <w:szCs w:val="22"/>
        </w:rPr>
      </w:pPr>
      <w:r w:rsidRPr="00C63194">
        <w:rPr>
          <w:rFonts w:ascii="Arial" w:hAnsi="Arial" w:cs="Arial"/>
          <w:color w:val="000000" w:themeColor="text1"/>
          <w:sz w:val="22"/>
          <w:szCs w:val="22"/>
        </w:rPr>
        <w:t>Total visitor spend in Victoria is forecast to reach $50.9 billion in 2029, with growth of 27% over the next 5 years. Tourism spend in Victoria is expected to increase to a record high of $41.8 billion in 2025, $2.6 billion more than the result for the year ending June 2024 of $39.2 billion</w:t>
      </w:r>
      <w:r w:rsidR="00CE57AA" w:rsidRPr="00AF22E8">
        <w:rPr>
          <w:rFonts w:ascii="Arial" w:hAnsi="Arial" w:cs="Arial"/>
          <w:color w:val="000000" w:themeColor="text1"/>
          <w:sz w:val="22"/>
          <w:szCs w:val="22"/>
        </w:rPr>
        <w:t>.</w:t>
      </w:r>
    </w:p>
    <w:p w14:paraId="1F86744F" w14:textId="2A57D6AE" w:rsidR="00BF27C1" w:rsidRPr="00AF22E8" w:rsidRDefault="00F77CA2" w:rsidP="00BF27C1">
      <w:pPr>
        <w:pStyle w:val="ListParagraph"/>
        <w:numPr>
          <w:ilvl w:val="0"/>
          <w:numId w:val="2"/>
        </w:numPr>
        <w:rPr>
          <w:rFonts w:ascii="Arial" w:hAnsi="Arial" w:cs="Arial"/>
          <w:sz w:val="22"/>
          <w:szCs w:val="22"/>
        </w:rPr>
      </w:pPr>
      <w:r w:rsidRPr="00F77CA2">
        <w:rPr>
          <w:rFonts w:ascii="Arial" w:hAnsi="Arial" w:cs="Arial"/>
          <w:sz w:val="22"/>
          <w:szCs w:val="22"/>
        </w:rPr>
        <w:t>Domestic spend levels have already surpassed 2019 levels, with international spend expected to recover in late 2024</w:t>
      </w:r>
      <w:r w:rsidR="00BF27C1" w:rsidRPr="00AF22E8">
        <w:rPr>
          <w:rFonts w:ascii="Arial" w:hAnsi="Arial" w:cs="Arial"/>
          <w:sz w:val="22"/>
          <w:szCs w:val="22"/>
        </w:rPr>
        <w:t>.</w:t>
      </w:r>
    </w:p>
    <w:p w14:paraId="0428C2E6" w14:textId="63A4F03F" w:rsidR="00BF27C1" w:rsidRDefault="00AC1B9E" w:rsidP="00BF27C1">
      <w:pPr>
        <w:pStyle w:val="ListParagraph"/>
        <w:numPr>
          <w:ilvl w:val="0"/>
          <w:numId w:val="2"/>
        </w:numPr>
        <w:rPr>
          <w:rFonts w:ascii="Arial" w:hAnsi="Arial" w:cs="Arial"/>
          <w:sz w:val="22"/>
          <w:szCs w:val="22"/>
        </w:rPr>
      </w:pPr>
      <w:r w:rsidRPr="00AC1B9E">
        <w:rPr>
          <w:rFonts w:ascii="Arial" w:hAnsi="Arial" w:cs="Arial"/>
          <w:sz w:val="22"/>
          <w:szCs w:val="22"/>
        </w:rPr>
        <w:t>Domestic daytrip spend is expected to generate 21% of total spend in 2029. Domestic daytrip spend is expected to decline in 2024 before rebounding in 2025, reflecting weakness within this travel category amidst broader economic headwinds</w:t>
      </w:r>
      <w:r w:rsidR="00BF27C1" w:rsidRPr="00AF22E8">
        <w:rPr>
          <w:rFonts w:ascii="Arial" w:hAnsi="Arial" w:cs="Arial"/>
          <w:sz w:val="22"/>
          <w:szCs w:val="22"/>
        </w:rPr>
        <w:t>.</w:t>
      </w:r>
    </w:p>
    <w:p w14:paraId="54247546" w14:textId="57317927" w:rsidR="00AC1B9E" w:rsidRDefault="00232FAC" w:rsidP="00BF27C1">
      <w:pPr>
        <w:pStyle w:val="ListParagraph"/>
        <w:numPr>
          <w:ilvl w:val="0"/>
          <w:numId w:val="2"/>
        </w:numPr>
        <w:rPr>
          <w:rFonts w:ascii="Arial" w:hAnsi="Arial" w:cs="Arial"/>
          <w:sz w:val="22"/>
          <w:szCs w:val="22"/>
        </w:rPr>
      </w:pPr>
      <w:r w:rsidRPr="00232FAC">
        <w:rPr>
          <w:rFonts w:ascii="Arial" w:hAnsi="Arial" w:cs="Arial"/>
          <w:sz w:val="22"/>
          <w:szCs w:val="22"/>
        </w:rPr>
        <w:t>Domestic overnight spend is expected to the be the largest generator of visitor spend in Victoria in 2029 at 54%. However, growth in this sector is projected to be weaker than previously forecast</w:t>
      </w:r>
      <w:r>
        <w:rPr>
          <w:rFonts w:ascii="Arial" w:hAnsi="Arial" w:cs="Arial"/>
          <w:sz w:val="22"/>
          <w:szCs w:val="22"/>
        </w:rPr>
        <w:t>.</w:t>
      </w:r>
    </w:p>
    <w:p w14:paraId="2259ABF8" w14:textId="573923E8" w:rsidR="00232FAC" w:rsidRPr="00AF22E8" w:rsidRDefault="00B81911" w:rsidP="00BF27C1">
      <w:pPr>
        <w:pStyle w:val="ListParagraph"/>
        <w:numPr>
          <w:ilvl w:val="0"/>
          <w:numId w:val="2"/>
        </w:numPr>
        <w:rPr>
          <w:rFonts w:ascii="Arial" w:hAnsi="Arial" w:cs="Arial"/>
          <w:sz w:val="22"/>
          <w:szCs w:val="22"/>
        </w:rPr>
      </w:pPr>
      <w:r w:rsidRPr="00B81911">
        <w:rPr>
          <w:rFonts w:ascii="Arial" w:hAnsi="Arial" w:cs="Arial"/>
          <w:sz w:val="22"/>
          <w:szCs w:val="22"/>
        </w:rPr>
        <w:t>International overnight spend is expected to generate 25% of total spend in 2029, up from an estimated 22% in 2024, reflecting the growing importance of the international sector</w:t>
      </w:r>
      <w:r>
        <w:rPr>
          <w:rFonts w:ascii="Arial" w:hAnsi="Arial" w:cs="Arial"/>
          <w:sz w:val="22"/>
          <w:szCs w:val="22"/>
        </w:rPr>
        <w:t>.</w:t>
      </w:r>
    </w:p>
    <w:p w14:paraId="42B32F54" w14:textId="209BE4F3" w:rsidR="00581568" w:rsidRPr="0055347A" w:rsidRDefault="005940EB" w:rsidP="00084F35">
      <w:pPr>
        <w:pStyle w:val="Heading2"/>
        <w:spacing w:before="80" w:line="240" w:lineRule="auto"/>
        <w:rPr>
          <w:rFonts w:ascii="Arial" w:hAnsi="Arial" w:cs="Arial"/>
          <w:color w:val="002060"/>
        </w:rPr>
      </w:pPr>
      <w:bookmarkStart w:id="25" w:name="_Toc184116516"/>
      <w:r w:rsidRPr="0055347A">
        <w:rPr>
          <w:rFonts w:ascii="Arial" w:hAnsi="Arial" w:cs="Arial"/>
          <w:color w:val="002060"/>
        </w:rPr>
        <w:t xml:space="preserve">3.1 </w:t>
      </w:r>
      <w:r w:rsidR="00581568" w:rsidRPr="0055347A">
        <w:rPr>
          <w:rFonts w:ascii="Arial" w:hAnsi="Arial" w:cs="Arial"/>
          <w:color w:val="002060"/>
        </w:rPr>
        <w:t xml:space="preserve">Data table: </w:t>
      </w:r>
      <w:r w:rsidR="006A607C" w:rsidRPr="0055347A">
        <w:rPr>
          <w:rFonts w:ascii="Arial" w:hAnsi="Arial" w:cs="Arial"/>
          <w:color w:val="002060"/>
        </w:rPr>
        <w:t xml:space="preserve">Projected </w:t>
      </w:r>
      <w:r w:rsidR="00626CF8" w:rsidRPr="0055347A">
        <w:rPr>
          <w:rFonts w:ascii="Arial" w:hAnsi="Arial" w:cs="Arial"/>
          <w:color w:val="002060"/>
        </w:rPr>
        <w:t>tourism</w:t>
      </w:r>
      <w:r w:rsidR="006A607C" w:rsidRPr="0055347A">
        <w:rPr>
          <w:rFonts w:ascii="Arial" w:hAnsi="Arial" w:cs="Arial"/>
          <w:color w:val="002060"/>
        </w:rPr>
        <w:t xml:space="preserve"> spend in Victoria in </w:t>
      </w:r>
      <w:r w:rsidR="00AF22E8" w:rsidRPr="0055347A">
        <w:rPr>
          <w:rFonts w:ascii="Arial" w:hAnsi="Arial" w:cs="Arial"/>
          <w:color w:val="002060"/>
        </w:rPr>
        <w:t>2029</w:t>
      </w:r>
      <w:r w:rsidR="006A607C" w:rsidRPr="0055347A">
        <w:rPr>
          <w:rFonts w:ascii="Arial" w:hAnsi="Arial" w:cs="Arial"/>
          <w:color w:val="002060"/>
        </w:rPr>
        <w:t xml:space="preserve"> by visitor type</w:t>
      </w:r>
      <w:bookmarkEnd w:id="25"/>
    </w:p>
    <w:p w14:paraId="76291D62" w14:textId="56796D20" w:rsidR="009F364C" w:rsidRPr="009F364C" w:rsidRDefault="000C5E3B" w:rsidP="00084F35">
      <w:pPr>
        <w:spacing w:before="120" w:after="120" w:line="240" w:lineRule="auto"/>
        <w:rPr>
          <w:rFonts w:ascii="Arial" w:hAnsi="Arial" w:cs="Arial"/>
          <w:sz w:val="22"/>
          <w:szCs w:val="22"/>
        </w:rPr>
      </w:pPr>
      <w:r w:rsidRPr="009F364C">
        <w:rPr>
          <w:rFonts w:ascii="Arial" w:hAnsi="Arial" w:cs="Arial"/>
          <w:sz w:val="22"/>
          <w:szCs w:val="22"/>
        </w:rPr>
        <w:t>For each visitor type, t</w:t>
      </w:r>
      <w:r w:rsidR="0017018C" w:rsidRPr="009F364C">
        <w:rPr>
          <w:rFonts w:ascii="Arial" w:hAnsi="Arial" w:cs="Arial"/>
          <w:sz w:val="22"/>
          <w:szCs w:val="22"/>
        </w:rPr>
        <w:t xml:space="preserve">he table below </w:t>
      </w:r>
      <w:r w:rsidR="00F01C71" w:rsidRPr="009F364C">
        <w:rPr>
          <w:rFonts w:ascii="Arial" w:hAnsi="Arial" w:cs="Arial"/>
          <w:sz w:val="22"/>
          <w:szCs w:val="22"/>
        </w:rPr>
        <w:t xml:space="preserve">provides </w:t>
      </w:r>
      <w:r w:rsidR="009D7F05" w:rsidRPr="009F364C">
        <w:rPr>
          <w:rFonts w:ascii="Arial" w:hAnsi="Arial" w:cs="Arial"/>
          <w:sz w:val="22"/>
          <w:szCs w:val="22"/>
        </w:rPr>
        <w:t>estimated spend</w:t>
      </w:r>
      <w:r w:rsidR="00B47BAC" w:rsidRPr="009F364C">
        <w:rPr>
          <w:rFonts w:ascii="Arial" w:hAnsi="Arial" w:cs="Arial"/>
          <w:sz w:val="22"/>
          <w:szCs w:val="22"/>
        </w:rPr>
        <w:t xml:space="preserve"> figures for</w:t>
      </w:r>
      <w:r w:rsidR="009D7F05" w:rsidRPr="009F364C">
        <w:rPr>
          <w:rFonts w:ascii="Arial" w:hAnsi="Arial" w:cs="Arial"/>
          <w:sz w:val="22"/>
          <w:szCs w:val="22"/>
        </w:rPr>
        <w:t xml:space="preserve"> </w:t>
      </w:r>
      <w:r w:rsidR="00AF22E8" w:rsidRPr="009F364C">
        <w:rPr>
          <w:rFonts w:ascii="Arial" w:hAnsi="Arial" w:cs="Arial"/>
          <w:sz w:val="22"/>
          <w:szCs w:val="22"/>
        </w:rPr>
        <w:t>2029</w:t>
      </w:r>
      <w:r w:rsidR="00B47BAC" w:rsidRPr="009F364C">
        <w:rPr>
          <w:rFonts w:ascii="Arial" w:hAnsi="Arial" w:cs="Arial"/>
          <w:sz w:val="22"/>
          <w:szCs w:val="22"/>
        </w:rPr>
        <w:t xml:space="preserve"> </w:t>
      </w:r>
      <w:r w:rsidR="0025750C" w:rsidRPr="009F364C">
        <w:rPr>
          <w:rFonts w:ascii="Arial" w:hAnsi="Arial" w:cs="Arial"/>
          <w:sz w:val="22"/>
          <w:szCs w:val="22"/>
        </w:rPr>
        <w:t xml:space="preserve">and </w:t>
      </w:r>
      <w:r w:rsidR="00F255FE" w:rsidRPr="009F364C">
        <w:rPr>
          <w:rFonts w:ascii="Arial" w:hAnsi="Arial" w:cs="Arial"/>
          <w:sz w:val="22"/>
          <w:szCs w:val="22"/>
        </w:rPr>
        <w:t xml:space="preserve">the </w:t>
      </w:r>
      <w:r w:rsidR="00F030F5" w:rsidRPr="009F364C">
        <w:rPr>
          <w:rFonts w:ascii="Arial" w:hAnsi="Arial" w:cs="Arial"/>
          <w:sz w:val="22"/>
          <w:szCs w:val="22"/>
        </w:rPr>
        <w:t>associated</w:t>
      </w:r>
      <w:r w:rsidR="00F255FE" w:rsidRPr="009F364C">
        <w:rPr>
          <w:rFonts w:ascii="Arial" w:hAnsi="Arial" w:cs="Arial"/>
          <w:sz w:val="22"/>
          <w:szCs w:val="22"/>
        </w:rPr>
        <w:t xml:space="preserve"> %</w:t>
      </w:r>
      <w:r w:rsidR="00F030F5" w:rsidRPr="009F364C">
        <w:rPr>
          <w:rFonts w:ascii="Arial" w:hAnsi="Arial" w:cs="Arial"/>
          <w:sz w:val="22"/>
          <w:szCs w:val="22"/>
        </w:rPr>
        <w:t xml:space="preserve"> </w:t>
      </w:r>
      <w:r w:rsidR="00F255FE" w:rsidRPr="009F364C">
        <w:rPr>
          <w:rFonts w:ascii="Arial" w:hAnsi="Arial" w:cs="Arial"/>
          <w:sz w:val="22"/>
          <w:szCs w:val="22"/>
        </w:rPr>
        <w:t>increase</w:t>
      </w:r>
      <w:r w:rsidR="00F030F5" w:rsidRPr="009F364C">
        <w:rPr>
          <w:rFonts w:ascii="Arial" w:hAnsi="Arial" w:cs="Arial"/>
          <w:sz w:val="22"/>
          <w:szCs w:val="22"/>
        </w:rPr>
        <w:t>s</w:t>
      </w:r>
      <w:r w:rsidR="00F255FE" w:rsidRPr="009F364C">
        <w:rPr>
          <w:rFonts w:ascii="Arial" w:hAnsi="Arial" w:cs="Arial"/>
          <w:sz w:val="22"/>
          <w:szCs w:val="22"/>
        </w:rPr>
        <w:t xml:space="preserve"> </w:t>
      </w:r>
      <w:r w:rsidR="00B47BAC" w:rsidRPr="009F364C">
        <w:rPr>
          <w:rFonts w:ascii="Arial" w:hAnsi="Arial" w:cs="Arial"/>
          <w:sz w:val="22"/>
          <w:szCs w:val="22"/>
        </w:rPr>
        <w:t>f</w:t>
      </w:r>
      <w:r w:rsidR="000C1250" w:rsidRPr="009F364C">
        <w:rPr>
          <w:rFonts w:ascii="Arial" w:hAnsi="Arial" w:cs="Arial"/>
          <w:sz w:val="22"/>
          <w:szCs w:val="22"/>
        </w:rPr>
        <w:t xml:space="preserve">rom </w:t>
      </w:r>
      <w:r w:rsidR="00AF22E8" w:rsidRPr="009F364C">
        <w:rPr>
          <w:rFonts w:ascii="Arial" w:hAnsi="Arial" w:cs="Arial"/>
          <w:sz w:val="22"/>
          <w:szCs w:val="22"/>
        </w:rPr>
        <w:t>2024</w:t>
      </w:r>
      <w:r w:rsidR="000C1250" w:rsidRPr="009F364C">
        <w:rPr>
          <w:rFonts w:ascii="Arial" w:hAnsi="Arial" w:cs="Arial"/>
          <w:sz w:val="22"/>
          <w:szCs w:val="22"/>
        </w:rPr>
        <w:t xml:space="preserve"> to </w:t>
      </w:r>
      <w:r w:rsidR="00AF22E8" w:rsidRPr="009F364C">
        <w:rPr>
          <w:rFonts w:ascii="Arial" w:hAnsi="Arial" w:cs="Arial"/>
          <w:sz w:val="22"/>
          <w:szCs w:val="22"/>
        </w:rPr>
        <w:t>2029</w:t>
      </w:r>
      <w:r w:rsidR="000C1250" w:rsidRPr="009F364C">
        <w:rPr>
          <w:rFonts w:ascii="Arial" w:hAnsi="Arial" w:cs="Arial"/>
          <w:sz w:val="22"/>
          <w:szCs w:val="22"/>
        </w:rPr>
        <w:t xml:space="preserve">. </w:t>
      </w:r>
      <w:r w:rsidR="00B47BAC" w:rsidRPr="009F364C">
        <w:rPr>
          <w:rFonts w:ascii="Arial" w:hAnsi="Arial" w:cs="Arial"/>
          <w:sz w:val="22"/>
          <w:szCs w:val="22"/>
        </w:rPr>
        <w:t xml:space="preserve"> </w:t>
      </w:r>
    </w:p>
    <w:p w14:paraId="0B5C5AF1" w14:textId="77777777" w:rsidR="009F364C" w:rsidRDefault="009F364C">
      <w:pPr>
        <w:spacing w:after="160" w:line="259" w:lineRule="auto"/>
        <w:rPr>
          <w:rFonts w:ascii="Arial" w:hAnsi="Arial" w:cs="Arial"/>
        </w:rPr>
      </w:pPr>
      <w:r>
        <w:rPr>
          <w:rFonts w:ascii="Arial" w:hAnsi="Arial" w:cs="Arial"/>
        </w:rPr>
        <w:br w:type="page"/>
      </w:r>
    </w:p>
    <w:p w14:paraId="63553259" w14:textId="77777777" w:rsidR="00C2445F" w:rsidRPr="00AF22E8" w:rsidRDefault="00C2445F" w:rsidP="00084F35">
      <w:pPr>
        <w:spacing w:before="120" w:after="120" w:line="240" w:lineRule="auto"/>
        <w:rPr>
          <w:rFonts w:ascii="Arial" w:hAnsi="Arial" w:cs="Arial"/>
        </w:rPr>
      </w:pPr>
    </w:p>
    <w:tbl>
      <w:tblPr>
        <w:tblStyle w:val="TableGrid"/>
        <w:tblW w:w="9209" w:type="dxa"/>
        <w:tblLook w:val="04A0" w:firstRow="1" w:lastRow="0" w:firstColumn="1" w:lastColumn="0" w:noHBand="0" w:noVBand="1"/>
      </w:tblPr>
      <w:tblGrid>
        <w:gridCol w:w="2972"/>
        <w:gridCol w:w="2268"/>
        <w:gridCol w:w="3969"/>
      </w:tblGrid>
      <w:tr w:rsidR="006653A5" w:rsidRPr="00AF22E8" w14:paraId="1810FF6D" w14:textId="780E85E0" w:rsidTr="00BA7E0C">
        <w:trPr>
          <w:tblHeader/>
        </w:trPr>
        <w:tc>
          <w:tcPr>
            <w:tcW w:w="2972" w:type="dxa"/>
            <w:shd w:val="clear" w:color="auto" w:fill="D9D9D9" w:themeFill="background1" w:themeFillShade="D9"/>
          </w:tcPr>
          <w:p w14:paraId="7788237C" w14:textId="0749688E" w:rsidR="006653A5" w:rsidRPr="00AF22E8" w:rsidRDefault="006653A5" w:rsidP="00912691">
            <w:pPr>
              <w:spacing w:after="120" w:line="240" w:lineRule="auto"/>
              <w:rPr>
                <w:rFonts w:ascii="Arial" w:hAnsi="Arial" w:cs="Arial"/>
                <w:b/>
                <w:bCs/>
                <w:color w:val="000000" w:themeColor="text1"/>
                <w:sz w:val="22"/>
                <w:szCs w:val="22"/>
              </w:rPr>
            </w:pPr>
            <w:bookmarkStart w:id="26" w:name="Title_2" w:colFirst="0" w:colLast="0"/>
          </w:p>
        </w:tc>
        <w:tc>
          <w:tcPr>
            <w:tcW w:w="2268" w:type="dxa"/>
            <w:shd w:val="clear" w:color="auto" w:fill="D9D9D9" w:themeFill="background1" w:themeFillShade="D9"/>
          </w:tcPr>
          <w:p w14:paraId="3CC638C5" w14:textId="244EE0EA" w:rsidR="006653A5" w:rsidRPr="00AF22E8" w:rsidRDefault="00AF22E8" w:rsidP="0091269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2029</w:t>
            </w:r>
            <w:r w:rsidR="006653A5" w:rsidRPr="00AF22E8">
              <w:rPr>
                <w:rFonts w:ascii="Arial" w:hAnsi="Arial" w:cs="Arial"/>
                <w:b/>
                <w:bCs/>
                <w:color w:val="000000" w:themeColor="text1"/>
                <w:sz w:val="22"/>
                <w:szCs w:val="22"/>
              </w:rPr>
              <w:t xml:space="preserve"> estimated spend</w:t>
            </w:r>
          </w:p>
        </w:tc>
        <w:tc>
          <w:tcPr>
            <w:tcW w:w="3969" w:type="dxa"/>
            <w:shd w:val="clear" w:color="auto" w:fill="D9D9D9" w:themeFill="background1" w:themeFillShade="D9"/>
          </w:tcPr>
          <w:p w14:paraId="1B7CA6A0" w14:textId="720761E3" w:rsidR="006653A5" w:rsidRPr="00AF22E8" w:rsidRDefault="006653A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Estimated % increase from </w:t>
            </w:r>
            <w:r w:rsidR="00AF22E8">
              <w:rPr>
                <w:rFonts w:ascii="Arial" w:hAnsi="Arial" w:cs="Arial"/>
                <w:b/>
                <w:bCs/>
                <w:color w:val="000000" w:themeColor="text1"/>
                <w:sz w:val="22"/>
                <w:szCs w:val="22"/>
              </w:rPr>
              <w:t>2024</w:t>
            </w:r>
            <w:r w:rsidRPr="00AF22E8">
              <w:rPr>
                <w:rFonts w:ascii="Arial" w:hAnsi="Arial" w:cs="Arial"/>
                <w:b/>
                <w:bCs/>
                <w:color w:val="000000" w:themeColor="text1"/>
                <w:sz w:val="22"/>
                <w:szCs w:val="22"/>
              </w:rPr>
              <w:t xml:space="preserve"> to </w:t>
            </w:r>
            <w:r w:rsidR="00AF22E8">
              <w:rPr>
                <w:rFonts w:ascii="Arial" w:hAnsi="Arial" w:cs="Arial"/>
                <w:b/>
                <w:bCs/>
                <w:color w:val="000000" w:themeColor="text1"/>
                <w:sz w:val="22"/>
                <w:szCs w:val="22"/>
              </w:rPr>
              <w:t>2029</w:t>
            </w:r>
          </w:p>
        </w:tc>
      </w:tr>
      <w:bookmarkEnd w:id="26"/>
      <w:tr w:rsidR="006653A5" w:rsidRPr="00AF22E8" w14:paraId="3CAAF263" w14:textId="40E1307E" w:rsidTr="00BA7E0C">
        <w:trPr>
          <w:tblHeader/>
        </w:trPr>
        <w:tc>
          <w:tcPr>
            <w:tcW w:w="2972" w:type="dxa"/>
          </w:tcPr>
          <w:p w14:paraId="2D909411" w14:textId="2326D35A" w:rsidR="006653A5" w:rsidRPr="00AF22E8" w:rsidRDefault="006653A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Total visitor spend</w:t>
            </w:r>
          </w:p>
        </w:tc>
        <w:tc>
          <w:tcPr>
            <w:tcW w:w="2268" w:type="dxa"/>
          </w:tcPr>
          <w:p w14:paraId="1E8D2705" w14:textId="466C4D27" w:rsidR="006653A5" w:rsidRPr="00AF22E8" w:rsidRDefault="006653A5"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$5</w:t>
            </w:r>
            <w:r w:rsidR="000624CF">
              <w:rPr>
                <w:rFonts w:ascii="Arial" w:hAnsi="Arial" w:cs="Arial"/>
                <w:color w:val="000000" w:themeColor="text1"/>
                <w:sz w:val="22"/>
                <w:szCs w:val="22"/>
              </w:rPr>
              <w:t>0</w:t>
            </w:r>
            <w:r w:rsidRPr="00AF22E8">
              <w:rPr>
                <w:rFonts w:ascii="Arial" w:hAnsi="Arial" w:cs="Arial"/>
                <w:color w:val="000000" w:themeColor="text1"/>
                <w:sz w:val="22"/>
                <w:szCs w:val="22"/>
              </w:rPr>
              <w:t>.</w:t>
            </w:r>
            <w:r w:rsidR="000624CF">
              <w:rPr>
                <w:rFonts w:ascii="Arial" w:hAnsi="Arial" w:cs="Arial"/>
                <w:color w:val="000000" w:themeColor="text1"/>
                <w:sz w:val="22"/>
                <w:szCs w:val="22"/>
              </w:rPr>
              <w:t>9</w:t>
            </w:r>
            <w:r w:rsidRPr="00AF22E8">
              <w:rPr>
                <w:rFonts w:ascii="Arial" w:hAnsi="Arial" w:cs="Arial"/>
                <w:color w:val="000000" w:themeColor="text1"/>
                <w:sz w:val="22"/>
                <w:szCs w:val="22"/>
              </w:rPr>
              <w:t xml:space="preserve"> billion</w:t>
            </w:r>
          </w:p>
        </w:tc>
        <w:tc>
          <w:tcPr>
            <w:tcW w:w="3969" w:type="dxa"/>
          </w:tcPr>
          <w:p w14:paraId="281EB24D" w14:textId="1E649431" w:rsidR="006653A5" w:rsidRPr="00AF22E8" w:rsidRDefault="00B47024"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I</w:t>
            </w:r>
            <w:r w:rsidR="006653A5" w:rsidRPr="00AF22E8">
              <w:rPr>
                <w:rFonts w:ascii="Arial" w:hAnsi="Arial" w:cs="Arial"/>
                <w:color w:val="000000" w:themeColor="text1"/>
                <w:sz w:val="22"/>
                <w:szCs w:val="22"/>
              </w:rPr>
              <w:t>ncrease</w:t>
            </w:r>
            <w:r w:rsidRPr="00AF22E8">
              <w:rPr>
                <w:rFonts w:ascii="Arial" w:hAnsi="Arial" w:cs="Arial"/>
                <w:color w:val="000000" w:themeColor="text1"/>
                <w:sz w:val="22"/>
                <w:szCs w:val="22"/>
              </w:rPr>
              <w:t xml:space="preserve"> of </w:t>
            </w:r>
            <w:r w:rsidR="000624CF">
              <w:rPr>
                <w:rFonts w:ascii="Arial" w:hAnsi="Arial" w:cs="Arial"/>
                <w:color w:val="000000" w:themeColor="text1"/>
                <w:sz w:val="22"/>
                <w:szCs w:val="22"/>
              </w:rPr>
              <w:t>27</w:t>
            </w:r>
            <w:r w:rsidRPr="00AF22E8">
              <w:rPr>
                <w:rFonts w:ascii="Arial" w:hAnsi="Arial" w:cs="Arial"/>
                <w:color w:val="000000" w:themeColor="text1"/>
                <w:sz w:val="22"/>
                <w:szCs w:val="22"/>
              </w:rPr>
              <w:t>%</w:t>
            </w:r>
            <w:r w:rsidR="006653A5"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006653A5"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r w:rsidR="006653A5" w:rsidRPr="00AF22E8" w14:paraId="1DB79552" w14:textId="3ACE6564" w:rsidTr="00BA7E0C">
        <w:tc>
          <w:tcPr>
            <w:tcW w:w="2972" w:type="dxa"/>
          </w:tcPr>
          <w:p w14:paraId="5F23AE05" w14:textId="76D58D5B" w:rsidR="006653A5" w:rsidRPr="00AF22E8" w:rsidRDefault="006653A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Domestic daytrip spend</w:t>
            </w:r>
          </w:p>
        </w:tc>
        <w:tc>
          <w:tcPr>
            <w:tcW w:w="2268" w:type="dxa"/>
          </w:tcPr>
          <w:p w14:paraId="76D7E335" w14:textId="77A1ECEA" w:rsidR="006653A5" w:rsidRPr="00AF22E8" w:rsidRDefault="006653A5"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$1</w:t>
            </w:r>
            <w:r w:rsidR="000624CF">
              <w:rPr>
                <w:rFonts w:ascii="Arial" w:hAnsi="Arial" w:cs="Arial"/>
                <w:color w:val="000000" w:themeColor="text1"/>
                <w:sz w:val="22"/>
                <w:szCs w:val="22"/>
              </w:rPr>
              <w:t>0</w:t>
            </w:r>
            <w:r w:rsidRPr="00AF22E8">
              <w:rPr>
                <w:rFonts w:ascii="Arial" w:hAnsi="Arial" w:cs="Arial"/>
                <w:color w:val="000000" w:themeColor="text1"/>
                <w:sz w:val="22"/>
                <w:szCs w:val="22"/>
              </w:rPr>
              <w:t>.6 billion</w:t>
            </w:r>
          </w:p>
        </w:tc>
        <w:tc>
          <w:tcPr>
            <w:tcW w:w="3969" w:type="dxa"/>
          </w:tcPr>
          <w:p w14:paraId="53346FF3" w14:textId="2C0D7B54" w:rsidR="006653A5" w:rsidRPr="00AF22E8" w:rsidRDefault="00B47024"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6653A5" w:rsidRPr="00AF22E8">
              <w:rPr>
                <w:rFonts w:ascii="Arial" w:hAnsi="Arial" w:cs="Arial"/>
                <w:color w:val="000000" w:themeColor="text1"/>
                <w:sz w:val="22"/>
                <w:szCs w:val="22"/>
              </w:rPr>
              <w:t>2</w:t>
            </w:r>
            <w:r w:rsidR="000624CF">
              <w:rPr>
                <w:rFonts w:ascii="Arial" w:hAnsi="Arial" w:cs="Arial"/>
                <w:color w:val="000000" w:themeColor="text1"/>
                <w:sz w:val="22"/>
                <w:szCs w:val="22"/>
              </w:rPr>
              <w:t>5</w:t>
            </w:r>
            <w:r w:rsidR="006653A5"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006653A5"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r w:rsidR="006653A5" w:rsidRPr="00AF22E8" w14:paraId="64AF8F55" w14:textId="1E393C71" w:rsidTr="00BA7E0C">
        <w:tc>
          <w:tcPr>
            <w:tcW w:w="2972" w:type="dxa"/>
          </w:tcPr>
          <w:p w14:paraId="26E82EAD" w14:textId="35C1B523" w:rsidR="006653A5" w:rsidRPr="00AF22E8" w:rsidRDefault="006653A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Domestic overnight spend</w:t>
            </w:r>
          </w:p>
        </w:tc>
        <w:tc>
          <w:tcPr>
            <w:tcW w:w="2268" w:type="dxa"/>
          </w:tcPr>
          <w:p w14:paraId="34536C0E" w14:textId="586C48A8" w:rsidR="006653A5" w:rsidRPr="00AF22E8" w:rsidRDefault="006653A5"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$2</w:t>
            </w:r>
            <w:r w:rsidR="008F56BD">
              <w:rPr>
                <w:rFonts w:ascii="Arial" w:hAnsi="Arial" w:cs="Arial"/>
                <w:color w:val="000000" w:themeColor="text1"/>
                <w:sz w:val="22"/>
                <w:szCs w:val="22"/>
              </w:rPr>
              <w:t>7</w:t>
            </w:r>
            <w:r w:rsidRPr="00AF22E8">
              <w:rPr>
                <w:rFonts w:ascii="Arial" w:hAnsi="Arial" w:cs="Arial"/>
                <w:color w:val="000000" w:themeColor="text1"/>
                <w:sz w:val="22"/>
                <w:szCs w:val="22"/>
              </w:rPr>
              <w:t>.</w:t>
            </w:r>
            <w:r w:rsidR="008F56BD">
              <w:rPr>
                <w:rFonts w:ascii="Arial" w:hAnsi="Arial" w:cs="Arial"/>
                <w:color w:val="000000" w:themeColor="text1"/>
                <w:sz w:val="22"/>
                <w:szCs w:val="22"/>
              </w:rPr>
              <w:t>4</w:t>
            </w:r>
            <w:r w:rsidRPr="00AF22E8">
              <w:rPr>
                <w:rFonts w:ascii="Arial" w:hAnsi="Arial" w:cs="Arial"/>
                <w:color w:val="000000" w:themeColor="text1"/>
                <w:sz w:val="22"/>
                <w:szCs w:val="22"/>
              </w:rPr>
              <w:t xml:space="preserve"> billion</w:t>
            </w:r>
          </w:p>
        </w:tc>
        <w:tc>
          <w:tcPr>
            <w:tcW w:w="3969" w:type="dxa"/>
          </w:tcPr>
          <w:p w14:paraId="7F651A51" w14:textId="36A6C94D" w:rsidR="006653A5" w:rsidRPr="00AF22E8" w:rsidRDefault="00E3140E"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6653A5" w:rsidRPr="00AF22E8">
              <w:rPr>
                <w:rFonts w:ascii="Arial" w:hAnsi="Arial" w:cs="Arial"/>
                <w:color w:val="000000" w:themeColor="text1"/>
                <w:sz w:val="22"/>
                <w:szCs w:val="22"/>
              </w:rPr>
              <w:t>2</w:t>
            </w:r>
            <w:r w:rsidR="008F56BD">
              <w:rPr>
                <w:rFonts w:ascii="Arial" w:hAnsi="Arial" w:cs="Arial"/>
                <w:color w:val="000000" w:themeColor="text1"/>
                <w:sz w:val="22"/>
                <w:szCs w:val="22"/>
              </w:rPr>
              <w:t>0</w:t>
            </w:r>
            <w:r w:rsidR="006653A5"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006653A5"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r w:rsidR="006653A5" w:rsidRPr="00AF22E8" w14:paraId="6C06E358" w14:textId="4DB910E6" w:rsidTr="00BA7E0C">
        <w:tc>
          <w:tcPr>
            <w:tcW w:w="2972" w:type="dxa"/>
          </w:tcPr>
          <w:p w14:paraId="3E1A9E19" w14:textId="36A7EFFC" w:rsidR="006653A5" w:rsidRPr="00AF22E8" w:rsidRDefault="006653A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International overnight spend</w:t>
            </w:r>
          </w:p>
        </w:tc>
        <w:tc>
          <w:tcPr>
            <w:tcW w:w="2268" w:type="dxa"/>
          </w:tcPr>
          <w:p w14:paraId="1E300657" w14:textId="11D99ED8" w:rsidR="006653A5" w:rsidRPr="00AF22E8" w:rsidRDefault="006653A5"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$13.</w:t>
            </w:r>
            <w:r w:rsidR="008F56BD">
              <w:rPr>
                <w:rFonts w:ascii="Arial" w:hAnsi="Arial" w:cs="Arial"/>
                <w:color w:val="000000" w:themeColor="text1"/>
                <w:sz w:val="22"/>
                <w:szCs w:val="22"/>
              </w:rPr>
              <w:t>0</w:t>
            </w:r>
            <w:r w:rsidRPr="00AF22E8">
              <w:rPr>
                <w:rFonts w:ascii="Arial" w:hAnsi="Arial" w:cs="Arial"/>
                <w:color w:val="000000" w:themeColor="text1"/>
                <w:sz w:val="22"/>
                <w:szCs w:val="22"/>
              </w:rPr>
              <w:t xml:space="preserve"> billion</w:t>
            </w:r>
          </w:p>
        </w:tc>
        <w:tc>
          <w:tcPr>
            <w:tcW w:w="3969" w:type="dxa"/>
          </w:tcPr>
          <w:p w14:paraId="3370089B" w14:textId="0303FD74" w:rsidR="006653A5" w:rsidRPr="00AF22E8" w:rsidRDefault="00E3140E"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F56BD">
              <w:rPr>
                <w:rFonts w:ascii="Arial" w:hAnsi="Arial" w:cs="Arial"/>
                <w:color w:val="000000" w:themeColor="text1"/>
                <w:sz w:val="22"/>
                <w:szCs w:val="22"/>
              </w:rPr>
              <w:t>46</w:t>
            </w:r>
            <w:r w:rsidR="006653A5"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006653A5"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bl>
    <w:p w14:paraId="07E6887E" w14:textId="42B1BA16" w:rsidR="004F6961" w:rsidRPr="00AF22E8" w:rsidRDefault="00B968C9" w:rsidP="0011585D">
      <w:pPr>
        <w:rPr>
          <w:rFonts w:ascii="Arial" w:hAnsi="Arial" w:cs="Arial"/>
          <w:color w:val="000000" w:themeColor="text1"/>
          <w:sz w:val="22"/>
          <w:szCs w:val="22"/>
        </w:rPr>
      </w:pPr>
      <w:r>
        <w:rPr>
          <w:rFonts w:ascii="Arial" w:hAnsi="Arial" w:cs="Arial"/>
          <w:color w:val="000000" w:themeColor="text1"/>
          <w:sz w:val="22"/>
          <w:szCs w:val="22"/>
        </w:rPr>
        <w:t>To note: rounding may impact estimates</w:t>
      </w:r>
    </w:p>
    <w:p w14:paraId="4E077DAA" w14:textId="35473517" w:rsidR="00A82063" w:rsidRPr="00DF154D" w:rsidRDefault="005940EB" w:rsidP="004E73F6">
      <w:pPr>
        <w:pStyle w:val="Heading2"/>
        <w:spacing w:before="80" w:line="240" w:lineRule="auto"/>
        <w:rPr>
          <w:rFonts w:ascii="Arial" w:hAnsi="Arial" w:cs="Arial"/>
          <w:color w:val="002060"/>
        </w:rPr>
      </w:pPr>
      <w:bookmarkStart w:id="27" w:name="_Toc184116517"/>
      <w:r w:rsidRPr="00DF154D">
        <w:rPr>
          <w:rFonts w:ascii="Arial" w:hAnsi="Arial" w:cs="Arial"/>
          <w:color w:val="002060"/>
        </w:rPr>
        <w:t xml:space="preserve">3.2 </w:t>
      </w:r>
      <w:r w:rsidR="00A82063" w:rsidRPr="00DF154D">
        <w:rPr>
          <w:rFonts w:ascii="Arial" w:hAnsi="Arial" w:cs="Arial"/>
          <w:color w:val="002060"/>
        </w:rPr>
        <w:t xml:space="preserve">Data table: Forecast growth rates for </w:t>
      </w:r>
      <w:r w:rsidR="00626CF8" w:rsidRPr="00DF154D">
        <w:rPr>
          <w:rFonts w:ascii="Arial" w:hAnsi="Arial" w:cs="Arial"/>
          <w:color w:val="002060"/>
        </w:rPr>
        <w:t>tourism</w:t>
      </w:r>
      <w:r w:rsidR="00A82063" w:rsidRPr="00DF154D">
        <w:rPr>
          <w:rFonts w:ascii="Arial" w:hAnsi="Arial" w:cs="Arial"/>
          <w:color w:val="002060"/>
        </w:rPr>
        <w:t xml:space="preserve"> spend in Victoria </w:t>
      </w:r>
      <w:r w:rsidR="004876D2" w:rsidRPr="00DF154D">
        <w:rPr>
          <w:rFonts w:ascii="Arial" w:hAnsi="Arial" w:cs="Arial"/>
          <w:color w:val="002060"/>
        </w:rPr>
        <w:t>by visitor type</w:t>
      </w:r>
      <w:bookmarkEnd w:id="27"/>
    </w:p>
    <w:p w14:paraId="63B45F00" w14:textId="26B691C1" w:rsidR="00CD17B0" w:rsidRPr="00AF22E8" w:rsidRDefault="00CD17B0" w:rsidP="0085353B">
      <w:pPr>
        <w:spacing w:before="120" w:after="120" w:line="240" w:lineRule="auto"/>
        <w:rPr>
          <w:rFonts w:ascii="Arial" w:hAnsi="Arial" w:cs="Arial"/>
        </w:rPr>
      </w:pPr>
      <w:r w:rsidRPr="00AF22E8">
        <w:rPr>
          <w:rFonts w:ascii="Arial" w:hAnsi="Arial" w:cs="Arial"/>
        </w:rPr>
        <w:t xml:space="preserve">For each visitor type, the table below provides </w:t>
      </w:r>
      <w:r w:rsidR="00060343" w:rsidRPr="00AF22E8">
        <w:rPr>
          <w:rFonts w:ascii="Arial" w:hAnsi="Arial" w:cs="Arial"/>
        </w:rPr>
        <w:t xml:space="preserve">the </w:t>
      </w:r>
      <w:r w:rsidRPr="00AF22E8">
        <w:rPr>
          <w:rFonts w:ascii="Arial" w:hAnsi="Arial" w:cs="Arial"/>
        </w:rPr>
        <w:t xml:space="preserve">estimated growth rate for spend </w:t>
      </w:r>
      <w:r w:rsidR="00493B5D" w:rsidRPr="00AF22E8">
        <w:rPr>
          <w:rFonts w:ascii="Arial" w:hAnsi="Arial" w:cs="Arial"/>
        </w:rPr>
        <w:t xml:space="preserve">from </w:t>
      </w:r>
      <w:r w:rsidR="00AF22E8">
        <w:rPr>
          <w:rFonts w:ascii="Arial" w:hAnsi="Arial" w:cs="Arial"/>
        </w:rPr>
        <w:t>2024</w:t>
      </w:r>
      <w:r w:rsidR="00493B5D" w:rsidRPr="00AF22E8">
        <w:rPr>
          <w:rFonts w:ascii="Arial" w:hAnsi="Arial" w:cs="Arial"/>
        </w:rPr>
        <w:t xml:space="preserve"> </w:t>
      </w:r>
      <w:r w:rsidR="00060343" w:rsidRPr="00AF22E8">
        <w:rPr>
          <w:rFonts w:ascii="Arial" w:hAnsi="Arial" w:cs="Arial"/>
        </w:rPr>
        <w:t>to 202</w:t>
      </w:r>
      <w:r w:rsidR="0098132E">
        <w:rPr>
          <w:rFonts w:ascii="Arial" w:hAnsi="Arial" w:cs="Arial"/>
        </w:rPr>
        <w:t>5</w:t>
      </w:r>
      <w:r w:rsidR="00060343" w:rsidRPr="00AF22E8">
        <w:rPr>
          <w:rFonts w:ascii="Arial" w:hAnsi="Arial" w:cs="Arial"/>
        </w:rPr>
        <w:t xml:space="preserve"> and the</w:t>
      </w:r>
      <w:r w:rsidR="00361B5D" w:rsidRPr="00AF22E8">
        <w:rPr>
          <w:rFonts w:ascii="Arial" w:hAnsi="Arial" w:cs="Arial"/>
        </w:rPr>
        <w:t xml:space="preserve"> forecast</w:t>
      </w:r>
      <w:r w:rsidR="00060343" w:rsidRPr="00AF22E8">
        <w:rPr>
          <w:rFonts w:ascii="Arial" w:hAnsi="Arial" w:cs="Arial"/>
        </w:rPr>
        <w:t xml:space="preserve"> average annual growth rate</w:t>
      </w:r>
      <w:r w:rsidR="00A053F6" w:rsidRPr="00AF22E8">
        <w:rPr>
          <w:rFonts w:ascii="Arial" w:hAnsi="Arial" w:cs="Arial"/>
        </w:rPr>
        <w:t xml:space="preserve"> for spend</w:t>
      </w:r>
      <w:r w:rsidR="00361B5D" w:rsidRPr="00AF22E8">
        <w:rPr>
          <w:rFonts w:ascii="Arial" w:hAnsi="Arial" w:cs="Arial"/>
        </w:rPr>
        <w:t xml:space="preserve"> from </w:t>
      </w:r>
      <w:r w:rsidR="00AF22E8">
        <w:rPr>
          <w:rFonts w:ascii="Arial" w:hAnsi="Arial" w:cs="Arial"/>
        </w:rPr>
        <w:t>2024</w:t>
      </w:r>
      <w:r w:rsidR="00361B5D" w:rsidRPr="00AF22E8">
        <w:rPr>
          <w:rFonts w:ascii="Arial" w:hAnsi="Arial" w:cs="Arial"/>
        </w:rPr>
        <w:t xml:space="preserve"> to </w:t>
      </w:r>
      <w:r w:rsidR="00AF22E8">
        <w:rPr>
          <w:rFonts w:ascii="Arial" w:hAnsi="Arial" w:cs="Arial"/>
        </w:rPr>
        <w:t>2029</w:t>
      </w:r>
      <w:r w:rsidR="00361B5D" w:rsidRPr="00AF22E8">
        <w:rPr>
          <w:rFonts w:ascii="Arial" w:hAnsi="Arial" w:cs="Arial"/>
        </w:rPr>
        <w:t>.</w:t>
      </w:r>
    </w:p>
    <w:tbl>
      <w:tblPr>
        <w:tblStyle w:val="TableGrid"/>
        <w:tblW w:w="9067" w:type="dxa"/>
        <w:tblLook w:val="04A0" w:firstRow="1" w:lastRow="0" w:firstColumn="1" w:lastColumn="0" w:noHBand="0" w:noVBand="1"/>
      </w:tblPr>
      <w:tblGrid>
        <w:gridCol w:w="2972"/>
        <w:gridCol w:w="2268"/>
        <w:gridCol w:w="3827"/>
      </w:tblGrid>
      <w:tr w:rsidR="00A82063" w:rsidRPr="00AF22E8" w14:paraId="6BAD24DF" w14:textId="77777777" w:rsidTr="00970D19">
        <w:trPr>
          <w:trHeight w:val="576"/>
          <w:tblHeader/>
        </w:trPr>
        <w:tc>
          <w:tcPr>
            <w:tcW w:w="2972" w:type="dxa"/>
            <w:shd w:val="clear" w:color="auto" w:fill="D9D9D9" w:themeFill="background1" w:themeFillShade="D9"/>
          </w:tcPr>
          <w:p w14:paraId="106CCF2F" w14:textId="77777777" w:rsidR="00A82063" w:rsidRPr="00AF22E8" w:rsidRDefault="00A82063" w:rsidP="00912691">
            <w:pPr>
              <w:spacing w:after="120" w:line="240" w:lineRule="auto"/>
              <w:rPr>
                <w:rFonts w:ascii="Arial" w:hAnsi="Arial" w:cs="Arial"/>
                <w:b/>
                <w:bCs/>
                <w:color w:val="000000" w:themeColor="text1"/>
                <w:sz w:val="22"/>
                <w:szCs w:val="22"/>
              </w:rPr>
            </w:pPr>
            <w:bookmarkStart w:id="28" w:name="Title_39" w:colFirst="0" w:colLast="0"/>
          </w:p>
        </w:tc>
        <w:tc>
          <w:tcPr>
            <w:tcW w:w="2268" w:type="dxa"/>
            <w:shd w:val="clear" w:color="auto" w:fill="D9D9D9" w:themeFill="background1" w:themeFillShade="D9"/>
          </w:tcPr>
          <w:p w14:paraId="3954EB2F" w14:textId="7B05D46D" w:rsidR="00A82063" w:rsidRPr="00AF22E8" w:rsidRDefault="00735181"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G</w:t>
            </w:r>
            <w:r w:rsidR="00B842F5" w:rsidRPr="00AF22E8">
              <w:rPr>
                <w:rFonts w:ascii="Arial" w:hAnsi="Arial" w:cs="Arial"/>
                <w:b/>
                <w:bCs/>
                <w:color w:val="000000" w:themeColor="text1"/>
                <w:sz w:val="22"/>
                <w:szCs w:val="22"/>
              </w:rPr>
              <w:t xml:space="preserve">rowth rate </w:t>
            </w:r>
            <w:r w:rsidR="00493B5D" w:rsidRPr="00AF22E8">
              <w:rPr>
                <w:rFonts w:ascii="Arial" w:hAnsi="Arial" w:cs="Arial"/>
                <w:b/>
                <w:bCs/>
                <w:color w:val="000000" w:themeColor="text1"/>
                <w:sz w:val="22"/>
                <w:szCs w:val="22"/>
              </w:rPr>
              <w:t xml:space="preserve">from </w:t>
            </w:r>
            <w:r w:rsidR="00AF22E8">
              <w:rPr>
                <w:rFonts w:ascii="Arial" w:hAnsi="Arial" w:cs="Arial"/>
                <w:b/>
                <w:bCs/>
                <w:color w:val="000000" w:themeColor="text1"/>
                <w:sz w:val="22"/>
                <w:szCs w:val="22"/>
              </w:rPr>
              <w:t>2024</w:t>
            </w:r>
            <w:r w:rsidR="00493B5D" w:rsidRPr="00AF22E8">
              <w:rPr>
                <w:rFonts w:ascii="Arial" w:hAnsi="Arial" w:cs="Arial"/>
                <w:b/>
                <w:bCs/>
                <w:color w:val="000000" w:themeColor="text1"/>
                <w:sz w:val="22"/>
                <w:szCs w:val="22"/>
              </w:rPr>
              <w:t xml:space="preserve"> </w:t>
            </w:r>
            <w:r w:rsidR="00B842F5" w:rsidRPr="00AF22E8">
              <w:rPr>
                <w:rFonts w:ascii="Arial" w:hAnsi="Arial" w:cs="Arial"/>
                <w:b/>
                <w:bCs/>
                <w:color w:val="000000" w:themeColor="text1"/>
                <w:sz w:val="22"/>
                <w:szCs w:val="22"/>
              </w:rPr>
              <w:t xml:space="preserve">to </w:t>
            </w:r>
            <w:r w:rsidR="00626CF8" w:rsidRPr="00AF22E8">
              <w:rPr>
                <w:rFonts w:ascii="Arial" w:hAnsi="Arial" w:cs="Arial"/>
                <w:b/>
                <w:bCs/>
                <w:color w:val="000000" w:themeColor="text1"/>
                <w:sz w:val="22"/>
                <w:szCs w:val="22"/>
              </w:rPr>
              <w:t>202</w:t>
            </w:r>
            <w:r w:rsidR="00D3211F">
              <w:rPr>
                <w:rFonts w:ascii="Arial" w:hAnsi="Arial" w:cs="Arial"/>
                <w:b/>
                <w:bCs/>
                <w:color w:val="000000" w:themeColor="text1"/>
                <w:sz w:val="22"/>
                <w:szCs w:val="22"/>
              </w:rPr>
              <w:t>5</w:t>
            </w:r>
          </w:p>
        </w:tc>
        <w:tc>
          <w:tcPr>
            <w:tcW w:w="3827" w:type="dxa"/>
            <w:shd w:val="clear" w:color="auto" w:fill="D9D9D9" w:themeFill="background1" w:themeFillShade="D9"/>
          </w:tcPr>
          <w:p w14:paraId="09CF2AE4" w14:textId="6E45AA37" w:rsidR="00A82063" w:rsidRPr="00AF22E8" w:rsidRDefault="00B842F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Average annual growth rate from </w:t>
            </w:r>
            <w:r w:rsidR="00AF22E8">
              <w:rPr>
                <w:rFonts w:ascii="Arial" w:hAnsi="Arial" w:cs="Arial"/>
                <w:b/>
                <w:bCs/>
                <w:color w:val="000000" w:themeColor="text1"/>
                <w:sz w:val="22"/>
                <w:szCs w:val="22"/>
              </w:rPr>
              <w:t>2024</w:t>
            </w:r>
            <w:r w:rsidRPr="00AF22E8">
              <w:rPr>
                <w:rFonts w:ascii="Arial" w:hAnsi="Arial" w:cs="Arial"/>
                <w:b/>
                <w:bCs/>
                <w:color w:val="000000" w:themeColor="text1"/>
                <w:sz w:val="22"/>
                <w:szCs w:val="22"/>
              </w:rPr>
              <w:t xml:space="preserve"> to </w:t>
            </w:r>
            <w:r w:rsidR="00AF22E8">
              <w:rPr>
                <w:rFonts w:ascii="Arial" w:hAnsi="Arial" w:cs="Arial"/>
                <w:b/>
                <w:bCs/>
                <w:color w:val="000000" w:themeColor="text1"/>
                <w:sz w:val="22"/>
                <w:szCs w:val="22"/>
              </w:rPr>
              <w:t>2029</w:t>
            </w:r>
          </w:p>
        </w:tc>
      </w:tr>
      <w:bookmarkEnd w:id="28"/>
      <w:tr w:rsidR="00A82063" w:rsidRPr="00AF22E8" w14:paraId="3407ABA6" w14:textId="77777777" w:rsidTr="00BA7E0C">
        <w:trPr>
          <w:tblHeader/>
        </w:trPr>
        <w:tc>
          <w:tcPr>
            <w:tcW w:w="2972" w:type="dxa"/>
          </w:tcPr>
          <w:p w14:paraId="6C6C7A1E" w14:textId="77777777" w:rsidR="00A82063" w:rsidRPr="00AF22E8" w:rsidRDefault="00A82063"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Total visitor spend</w:t>
            </w:r>
          </w:p>
        </w:tc>
        <w:tc>
          <w:tcPr>
            <w:tcW w:w="2268" w:type="dxa"/>
          </w:tcPr>
          <w:p w14:paraId="1895BB86" w14:textId="3549EBA4" w:rsidR="00A82063"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F56BD">
              <w:rPr>
                <w:rFonts w:ascii="Arial" w:hAnsi="Arial" w:cs="Arial"/>
                <w:color w:val="000000" w:themeColor="text1"/>
                <w:sz w:val="22"/>
                <w:szCs w:val="22"/>
              </w:rPr>
              <w:t>4.4</w:t>
            </w:r>
            <w:r w:rsidR="00E06465" w:rsidRPr="00AF22E8">
              <w:rPr>
                <w:rFonts w:ascii="Arial" w:hAnsi="Arial" w:cs="Arial"/>
                <w:color w:val="000000" w:themeColor="text1"/>
                <w:sz w:val="22"/>
                <w:szCs w:val="22"/>
              </w:rPr>
              <w:t>%</w:t>
            </w:r>
          </w:p>
        </w:tc>
        <w:tc>
          <w:tcPr>
            <w:tcW w:w="3827" w:type="dxa"/>
          </w:tcPr>
          <w:p w14:paraId="4347C970" w14:textId="4C71B848" w:rsidR="00A82063"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06FDB">
              <w:rPr>
                <w:rFonts w:ascii="Arial" w:hAnsi="Arial" w:cs="Arial"/>
                <w:color w:val="000000" w:themeColor="text1"/>
                <w:sz w:val="22"/>
                <w:szCs w:val="22"/>
              </w:rPr>
              <w:t>4.9</w:t>
            </w:r>
            <w:r w:rsidR="00E06465" w:rsidRPr="00AF22E8">
              <w:rPr>
                <w:rFonts w:ascii="Arial" w:hAnsi="Arial" w:cs="Arial"/>
                <w:color w:val="000000" w:themeColor="text1"/>
                <w:sz w:val="22"/>
                <w:szCs w:val="22"/>
              </w:rPr>
              <w:t>% per annum</w:t>
            </w:r>
          </w:p>
        </w:tc>
      </w:tr>
      <w:tr w:rsidR="00E06465" w:rsidRPr="00AF22E8" w14:paraId="77E9AA34" w14:textId="77777777" w:rsidTr="00BA7E0C">
        <w:tc>
          <w:tcPr>
            <w:tcW w:w="2972" w:type="dxa"/>
          </w:tcPr>
          <w:p w14:paraId="2550D09B" w14:textId="77777777" w:rsidR="00E06465" w:rsidRPr="00AF22E8" w:rsidRDefault="00E0646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Domestic daytrip spend</w:t>
            </w:r>
          </w:p>
        </w:tc>
        <w:tc>
          <w:tcPr>
            <w:tcW w:w="2268" w:type="dxa"/>
          </w:tcPr>
          <w:p w14:paraId="285F80DC" w14:textId="4996008F" w:rsidR="00E06465"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06FDB">
              <w:rPr>
                <w:rFonts w:ascii="Arial" w:hAnsi="Arial" w:cs="Arial"/>
                <w:color w:val="000000" w:themeColor="text1"/>
              </w:rPr>
              <w:t>4.0</w:t>
            </w:r>
            <w:r w:rsidR="00E06465" w:rsidRPr="00AF22E8">
              <w:rPr>
                <w:rFonts w:ascii="Arial" w:hAnsi="Arial" w:cs="Arial"/>
              </w:rPr>
              <w:t>%</w:t>
            </w:r>
          </w:p>
        </w:tc>
        <w:tc>
          <w:tcPr>
            <w:tcW w:w="3827" w:type="dxa"/>
          </w:tcPr>
          <w:p w14:paraId="72DF3463" w14:textId="395E7D51" w:rsidR="00E06465"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E06465" w:rsidRPr="00AF22E8">
              <w:rPr>
                <w:rFonts w:ascii="Arial" w:hAnsi="Arial" w:cs="Arial"/>
              </w:rPr>
              <w:t>4.</w:t>
            </w:r>
            <w:r w:rsidR="00806FDB">
              <w:rPr>
                <w:rFonts w:ascii="Arial" w:hAnsi="Arial" w:cs="Arial"/>
              </w:rPr>
              <w:t>6</w:t>
            </w:r>
            <w:r w:rsidR="00E06465" w:rsidRPr="00AF22E8">
              <w:rPr>
                <w:rFonts w:ascii="Arial" w:hAnsi="Arial" w:cs="Arial"/>
              </w:rPr>
              <w:t>% per annum</w:t>
            </w:r>
          </w:p>
        </w:tc>
      </w:tr>
      <w:tr w:rsidR="00E06465" w:rsidRPr="00AF22E8" w14:paraId="63F87180" w14:textId="77777777" w:rsidTr="00BA7E0C">
        <w:tc>
          <w:tcPr>
            <w:tcW w:w="2972" w:type="dxa"/>
          </w:tcPr>
          <w:p w14:paraId="5A3390FD" w14:textId="77777777" w:rsidR="00E06465" w:rsidRPr="00AF22E8" w:rsidRDefault="00E0646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Domestic overnight spend</w:t>
            </w:r>
          </w:p>
        </w:tc>
        <w:tc>
          <w:tcPr>
            <w:tcW w:w="2268" w:type="dxa"/>
          </w:tcPr>
          <w:p w14:paraId="074E1CBF" w14:textId="12565D67" w:rsidR="00E06465"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06FDB">
              <w:rPr>
                <w:rFonts w:ascii="Arial" w:hAnsi="Arial" w:cs="Arial"/>
                <w:color w:val="000000" w:themeColor="text1"/>
              </w:rPr>
              <w:t>1</w:t>
            </w:r>
            <w:r w:rsidR="00E06465" w:rsidRPr="00AF22E8">
              <w:rPr>
                <w:rFonts w:ascii="Arial" w:hAnsi="Arial" w:cs="Arial"/>
              </w:rPr>
              <w:t>.4%</w:t>
            </w:r>
          </w:p>
        </w:tc>
        <w:tc>
          <w:tcPr>
            <w:tcW w:w="3827" w:type="dxa"/>
          </w:tcPr>
          <w:p w14:paraId="5AB16EE7" w14:textId="35B9D856" w:rsidR="00E06465"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5244A0" w:rsidRPr="00AF22E8">
              <w:rPr>
                <w:rFonts w:ascii="Arial" w:hAnsi="Arial" w:cs="Arial"/>
                <w:color w:val="000000" w:themeColor="text1"/>
                <w:sz w:val="22"/>
                <w:szCs w:val="22"/>
              </w:rPr>
              <w:t>3.</w:t>
            </w:r>
            <w:r w:rsidR="00806FDB">
              <w:rPr>
                <w:rFonts w:ascii="Arial" w:hAnsi="Arial" w:cs="Arial"/>
                <w:color w:val="000000" w:themeColor="text1"/>
                <w:sz w:val="22"/>
                <w:szCs w:val="22"/>
              </w:rPr>
              <w:t>8</w:t>
            </w:r>
            <w:r w:rsidR="005244A0" w:rsidRPr="00AF22E8">
              <w:rPr>
                <w:rFonts w:ascii="Arial" w:hAnsi="Arial" w:cs="Arial"/>
                <w:color w:val="000000" w:themeColor="text1"/>
                <w:sz w:val="22"/>
                <w:szCs w:val="22"/>
              </w:rPr>
              <w:t>% per annum</w:t>
            </w:r>
          </w:p>
        </w:tc>
      </w:tr>
      <w:tr w:rsidR="00E06465" w:rsidRPr="00AF22E8" w14:paraId="46F908AE" w14:textId="77777777" w:rsidTr="00BA7E0C">
        <w:tc>
          <w:tcPr>
            <w:tcW w:w="2972" w:type="dxa"/>
          </w:tcPr>
          <w:p w14:paraId="4D2736AE" w14:textId="77777777" w:rsidR="00E06465" w:rsidRPr="00AF22E8" w:rsidRDefault="00E06465"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International overnight spend</w:t>
            </w:r>
          </w:p>
        </w:tc>
        <w:tc>
          <w:tcPr>
            <w:tcW w:w="2268" w:type="dxa"/>
          </w:tcPr>
          <w:p w14:paraId="7469A2B9" w14:textId="2D9DB9D9" w:rsidR="00E06465"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06FDB">
              <w:rPr>
                <w:rFonts w:ascii="Arial" w:hAnsi="Arial" w:cs="Arial"/>
                <w:color w:val="000000" w:themeColor="text1"/>
                <w:sz w:val="22"/>
                <w:szCs w:val="22"/>
              </w:rPr>
              <w:t>1</w:t>
            </w:r>
            <w:r w:rsidR="00E06465" w:rsidRPr="00AF22E8">
              <w:rPr>
                <w:rFonts w:ascii="Arial" w:hAnsi="Arial" w:cs="Arial"/>
              </w:rPr>
              <w:t>2.3%</w:t>
            </w:r>
          </w:p>
        </w:tc>
        <w:tc>
          <w:tcPr>
            <w:tcW w:w="3827" w:type="dxa"/>
          </w:tcPr>
          <w:p w14:paraId="13949A88" w14:textId="37472C87" w:rsidR="00E06465" w:rsidRPr="00AF22E8" w:rsidRDefault="00591BB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06FDB">
              <w:rPr>
                <w:rFonts w:ascii="Arial" w:hAnsi="Arial" w:cs="Arial"/>
                <w:color w:val="000000" w:themeColor="text1"/>
                <w:sz w:val="22"/>
                <w:szCs w:val="22"/>
              </w:rPr>
              <w:t>7</w:t>
            </w:r>
            <w:r w:rsidR="005244A0" w:rsidRPr="00AF22E8">
              <w:rPr>
                <w:rFonts w:ascii="Arial" w:hAnsi="Arial" w:cs="Arial"/>
                <w:color w:val="000000" w:themeColor="text1"/>
                <w:sz w:val="22"/>
                <w:szCs w:val="22"/>
              </w:rPr>
              <w:t>.</w:t>
            </w:r>
            <w:r w:rsidR="00806FDB">
              <w:rPr>
                <w:rFonts w:ascii="Arial" w:hAnsi="Arial" w:cs="Arial"/>
                <w:color w:val="000000" w:themeColor="text1"/>
                <w:sz w:val="22"/>
                <w:szCs w:val="22"/>
              </w:rPr>
              <w:t>8</w:t>
            </w:r>
            <w:r w:rsidR="005244A0" w:rsidRPr="00AF22E8">
              <w:rPr>
                <w:rFonts w:ascii="Arial" w:hAnsi="Arial" w:cs="Arial"/>
                <w:color w:val="000000" w:themeColor="text1"/>
                <w:sz w:val="22"/>
                <w:szCs w:val="22"/>
              </w:rPr>
              <w:t>% per annum</w:t>
            </w:r>
          </w:p>
        </w:tc>
      </w:tr>
    </w:tbl>
    <w:p w14:paraId="693C0554" w14:textId="6A1505B8" w:rsidR="00A82063" w:rsidRPr="00AF22E8" w:rsidRDefault="006F3270" w:rsidP="006F3270">
      <w:pPr>
        <w:pStyle w:val="Default"/>
        <w:rPr>
          <w:rFonts w:ascii="Arial" w:eastAsiaTheme="minorEastAsia" w:hAnsi="Arial" w:cs="Arial"/>
          <w:color w:val="auto"/>
          <w:sz w:val="21"/>
          <w:szCs w:val="21"/>
        </w:rPr>
      </w:pPr>
      <w:r w:rsidRPr="00AF22E8">
        <w:rPr>
          <w:rFonts w:ascii="Arial" w:eastAsiaTheme="minorEastAsia" w:hAnsi="Arial" w:cs="Arial"/>
          <w:color w:val="auto"/>
          <w:sz w:val="21"/>
          <w:szCs w:val="21"/>
        </w:rPr>
        <w:t>To note: total spend growth rates for Victoria differ to the national growth rates published by TRA due to Victoria’s underlying shares of visitor types and how they aggregate.</w:t>
      </w:r>
    </w:p>
    <w:p w14:paraId="25570FF4" w14:textId="77777777" w:rsidR="006A607C" w:rsidRPr="00AE1265" w:rsidRDefault="006A607C" w:rsidP="0011585D">
      <w:pPr>
        <w:rPr>
          <w:rFonts w:ascii="Arial" w:hAnsi="Arial" w:cs="Arial"/>
          <w:color w:val="000000" w:themeColor="text1"/>
          <w:sz w:val="12"/>
          <w:szCs w:val="12"/>
        </w:rPr>
      </w:pPr>
    </w:p>
    <w:p w14:paraId="46E738AC" w14:textId="75012A21" w:rsidR="008D76B4" w:rsidRPr="00AF22E8" w:rsidRDefault="005940EB" w:rsidP="008D76B4">
      <w:pPr>
        <w:pStyle w:val="Heading1"/>
        <w:rPr>
          <w:rFonts w:ascii="Arial" w:hAnsi="Arial" w:cs="Arial"/>
        </w:rPr>
      </w:pPr>
      <w:bookmarkStart w:id="29" w:name="_Toc184116518"/>
      <w:r>
        <w:rPr>
          <w:rFonts w:ascii="Arial" w:hAnsi="Arial" w:cs="Arial"/>
        </w:rPr>
        <w:t xml:space="preserve">4.0 </w:t>
      </w:r>
      <w:r w:rsidR="00B64922" w:rsidRPr="00AF22E8">
        <w:rPr>
          <w:rFonts w:ascii="Arial" w:hAnsi="Arial" w:cs="Arial"/>
        </w:rPr>
        <w:t>V</w:t>
      </w:r>
      <w:r w:rsidR="008D76B4" w:rsidRPr="00AF22E8">
        <w:rPr>
          <w:rFonts w:ascii="Arial" w:hAnsi="Arial" w:cs="Arial"/>
        </w:rPr>
        <w:t>isitor forecasts for Victoria</w:t>
      </w:r>
      <w:bookmarkEnd w:id="29"/>
    </w:p>
    <w:p w14:paraId="2C050424" w14:textId="77777777" w:rsidR="0055347A" w:rsidRPr="0055347A" w:rsidRDefault="0055347A" w:rsidP="00BC05DE">
      <w:pPr>
        <w:rPr>
          <w:rFonts w:ascii="Arial" w:hAnsi="Arial" w:cs="Arial"/>
          <w:color w:val="000000" w:themeColor="text1"/>
          <w:sz w:val="4"/>
          <w:szCs w:val="4"/>
        </w:rPr>
      </w:pPr>
    </w:p>
    <w:p w14:paraId="44679449" w14:textId="55795D81" w:rsidR="003B5879" w:rsidRPr="00AF22E8" w:rsidRDefault="00BC3904" w:rsidP="00BC05DE">
      <w:pPr>
        <w:rPr>
          <w:rFonts w:ascii="Arial" w:hAnsi="Arial" w:cs="Arial"/>
          <w:color w:val="000000" w:themeColor="text1"/>
          <w:sz w:val="22"/>
          <w:szCs w:val="22"/>
        </w:rPr>
      </w:pPr>
      <w:r w:rsidRPr="00BC3904">
        <w:rPr>
          <w:rFonts w:ascii="Arial" w:hAnsi="Arial" w:cs="Arial"/>
          <w:color w:val="000000" w:themeColor="text1"/>
          <w:sz w:val="22"/>
          <w:szCs w:val="22"/>
        </w:rPr>
        <w:t>Visitors to Victoria are expected to reach 105.2 million in 2029, up 21% from 2024 estimates. These visitors are forecast to comprise</w:t>
      </w:r>
      <w:r w:rsidR="003B5879" w:rsidRPr="00AF22E8">
        <w:rPr>
          <w:rFonts w:ascii="Arial" w:hAnsi="Arial" w:cs="Arial"/>
          <w:color w:val="000000" w:themeColor="text1"/>
          <w:sz w:val="22"/>
          <w:szCs w:val="22"/>
        </w:rPr>
        <w:t>:</w:t>
      </w:r>
    </w:p>
    <w:p w14:paraId="7B09BCA1" w14:textId="4AB7FCCB" w:rsidR="003B5879" w:rsidRPr="00AF22E8" w:rsidRDefault="009C453F" w:rsidP="00B70B14">
      <w:pPr>
        <w:pStyle w:val="ListParagraph"/>
        <w:numPr>
          <w:ilvl w:val="0"/>
          <w:numId w:val="13"/>
        </w:numPr>
        <w:rPr>
          <w:rFonts w:ascii="Arial" w:hAnsi="Arial" w:cs="Arial"/>
          <w:color w:val="000000" w:themeColor="text1"/>
          <w:sz w:val="22"/>
          <w:szCs w:val="22"/>
        </w:rPr>
      </w:pPr>
      <w:r w:rsidRPr="00AF22E8">
        <w:rPr>
          <w:rFonts w:ascii="Arial" w:hAnsi="Arial" w:cs="Arial"/>
          <w:color w:val="000000" w:themeColor="text1"/>
          <w:sz w:val="22"/>
          <w:szCs w:val="22"/>
        </w:rPr>
        <w:t>6</w:t>
      </w:r>
      <w:r w:rsidR="00BC3904">
        <w:rPr>
          <w:rFonts w:ascii="Arial" w:hAnsi="Arial" w:cs="Arial"/>
          <w:color w:val="000000" w:themeColor="text1"/>
          <w:sz w:val="22"/>
          <w:szCs w:val="22"/>
        </w:rPr>
        <w:t>5</w:t>
      </w:r>
      <w:r w:rsidRPr="00AF22E8">
        <w:rPr>
          <w:rFonts w:ascii="Arial" w:hAnsi="Arial" w:cs="Arial"/>
          <w:color w:val="000000" w:themeColor="text1"/>
          <w:sz w:val="22"/>
          <w:szCs w:val="22"/>
        </w:rPr>
        <w:t>% domestic daytrip visitors</w:t>
      </w:r>
    </w:p>
    <w:p w14:paraId="2F78AE16" w14:textId="482B6DB9" w:rsidR="003B5879" w:rsidRPr="00AF22E8" w:rsidRDefault="00BC3904" w:rsidP="00B70B14">
      <w:pPr>
        <w:pStyle w:val="ListParagraph"/>
        <w:numPr>
          <w:ilvl w:val="0"/>
          <w:numId w:val="13"/>
        </w:numPr>
        <w:rPr>
          <w:rFonts w:ascii="Arial" w:hAnsi="Arial" w:cs="Arial"/>
          <w:color w:val="000000" w:themeColor="text1"/>
          <w:sz w:val="22"/>
          <w:szCs w:val="22"/>
        </w:rPr>
      </w:pPr>
      <w:r>
        <w:rPr>
          <w:rFonts w:ascii="Arial" w:hAnsi="Arial" w:cs="Arial"/>
          <w:color w:val="000000" w:themeColor="text1"/>
          <w:sz w:val="22"/>
          <w:szCs w:val="22"/>
        </w:rPr>
        <w:t>31</w:t>
      </w:r>
      <w:r w:rsidR="009C453F" w:rsidRPr="00AF22E8">
        <w:rPr>
          <w:rFonts w:ascii="Arial" w:hAnsi="Arial" w:cs="Arial"/>
          <w:color w:val="000000" w:themeColor="text1"/>
          <w:sz w:val="22"/>
          <w:szCs w:val="22"/>
        </w:rPr>
        <w:t xml:space="preserve">% domestic overnight visitors </w:t>
      </w:r>
    </w:p>
    <w:p w14:paraId="100D7B92" w14:textId="3642E36C" w:rsidR="009C453F" w:rsidRPr="00AF22E8" w:rsidRDefault="009C453F" w:rsidP="00B70B14">
      <w:pPr>
        <w:pStyle w:val="ListParagraph"/>
        <w:numPr>
          <w:ilvl w:val="0"/>
          <w:numId w:val="13"/>
        </w:numPr>
        <w:rPr>
          <w:rFonts w:ascii="Arial" w:hAnsi="Arial" w:cs="Arial"/>
          <w:color w:val="000000" w:themeColor="text1"/>
          <w:sz w:val="22"/>
          <w:szCs w:val="22"/>
        </w:rPr>
      </w:pPr>
      <w:r w:rsidRPr="00AF22E8">
        <w:rPr>
          <w:rFonts w:ascii="Arial" w:hAnsi="Arial" w:cs="Arial"/>
          <w:color w:val="000000" w:themeColor="text1"/>
          <w:sz w:val="22"/>
          <w:szCs w:val="22"/>
        </w:rPr>
        <w:t>4% international overnight visitors.</w:t>
      </w:r>
    </w:p>
    <w:p w14:paraId="7772F73B" w14:textId="29350D25" w:rsidR="00BC05DE" w:rsidRPr="00AF22E8" w:rsidRDefault="00610C1E" w:rsidP="00F46E8C">
      <w:pPr>
        <w:rPr>
          <w:rFonts w:ascii="Arial" w:hAnsi="Arial" w:cs="Arial"/>
        </w:rPr>
      </w:pPr>
      <w:r w:rsidRPr="00610C1E">
        <w:rPr>
          <w:rFonts w:ascii="Arial" w:eastAsiaTheme="majorEastAsia" w:hAnsi="Arial" w:cs="Arial"/>
          <w:color w:val="000000" w:themeColor="text1"/>
          <w:sz w:val="22"/>
          <w:szCs w:val="22"/>
        </w:rPr>
        <w:t>Visitors are projected to be back above 2019 levels by 2028, with domestic visitor demand projected to be softer than previously expected due to household budget pressures and increased outbound travel. International visitor growth has also been revised downward compared to the previous forecasts and is expected back to 2019 levels in 2026</w:t>
      </w:r>
      <w:r w:rsidR="002779AD" w:rsidRPr="00AF22E8">
        <w:rPr>
          <w:rFonts w:ascii="Arial" w:eastAsiaTheme="majorEastAsia" w:hAnsi="Arial" w:cs="Arial"/>
          <w:color w:val="000000" w:themeColor="text1"/>
          <w:sz w:val="22"/>
          <w:szCs w:val="22"/>
        </w:rPr>
        <w:t>.</w:t>
      </w:r>
    </w:p>
    <w:p w14:paraId="6E75DE84" w14:textId="4507AA37" w:rsidR="00A829AA" w:rsidRPr="0055347A" w:rsidRDefault="005940EB" w:rsidP="0085353B">
      <w:pPr>
        <w:pStyle w:val="Heading2"/>
        <w:spacing w:before="80" w:line="240" w:lineRule="auto"/>
        <w:rPr>
          <w:rFonts w:ascii="Arial" w:hAnsi="Arial" w:cs="Arial"/>
          <w:color w:val="002060"/>
        </w:rPr>
      </w:pPr>
      <w:bookmarkStart w:id="30" w:name="_Toc184116519"/>
      <w:r w:rsidRPr="0055347A">
        <w:rPr>
          <w:rFonts w:ascii="Arial" w:hAnsi="Arial" w:cs="Arial"/>
          <w:color w:val="002060"/>
        </w:rPr>
        <w:t xml:space="preserve">4.1 </w:t>
      </w:r>
      <w:r w:rsidR="00A829AA" w:rsidRPr="0055347A">
        <w:rPr>
          <w:rFonts w:ascii="Arial" w:hAnsi="Arial" w:cs="Arial"/>
          <w:color w:val="002060"/>
        </w:rPr>
        <w:t>Data table: Projected visitor</w:t>
      </w:r>
      <w:r w:rsidR="000810D4" w:rsidRPr="0055347A">
        <w:rPr>
          <w:rFonts w:ascii="Arial" w:hAnsi="Arial" w:cs="Arial"/>
          <w:color w:val="002060"/>
        </w:rPr>
        <w:t xml:space="preserve">s to </w:t>
      </w:r>
      <w:r w:rsidR="00A829AA" w:rsidRPr="0055347A">
        <w:rPr>
          <w:rFonts w:ascii="Arial" w:hAnsi="Arial" w:cs="Arial"/>
          <w:color w:val="002060"/>
        </w:rPr>
        <w:t xml:space="preserve">Victoria in </w:t>
      </w:r>
      <w:r w:rsidR="00AF22E8" w:rsidRPr="0055347A">
        <w:rPr>
          <w:rFonts w:ascii="Arial" w:hAnsi="Arial" w:cs="Arial"/>
          <w:color w:val="002060"/>
        </w:rPr>
        <w:t>2029</w:t>
      </w:r>
      <w:r w:rsidR="00A829AA" w:rsidRPr="0055347A">
        <w:rPr>
          <w:rFonts w:ascii="Arial" w:hAnsi="Arial" w:cs="Arial"/>
          <w:color w:val="002060"/>
        </w:rPr>
        <w:t xml:space="preserve"> by visitor type</w:t>
      </w:r>
      <w:bookmarkEnd w:id="30"/>
    </w:p>
    <w:p w14:paraId="5C069382" w14:textId="60FD9BA6" w:rsidR="00205CEF" w:rsidRPr="00FF71B0" w:rsidRDefault="00031C47" w:rsidP="0085353B">
      <w:pPr>
        <w:spacing w:before="120" w:after="120" w:line="240" w:lineRule="auto"/>
        <w:rPr>
          <w:rFonts w:ascii="Arial" w:hAnsi="Arial" w:cs="Arial"/>
          <w:sz w:val="22"/>
          <w:szCs w:val="22"/>
        </w:rPr>
      </w:pPr>
      <w:r w:rsidRPr="00FF71B0">
        <w:rPr>
          <w:rFonts w:ascii="Arial" w:hAnsi="Arial" w:cs="Arial"/>
          <w:sz w:val="22"/>
          <w:szCs w:val="22"/>
        </w:rPr>
        <w:t xml:space="preserve">For each visitor type, the table below provides estimated visitor numbers for </w:t>
      </w:r>
      <w:r w:rsidR="00AF22E8" w:rsidRPr="00FF71B0">
        <w:rPr>
          <w:rFonts w:ascii="Arial" w:hAnsi="Arial" w:cs="Arial"/>
          <w:sz w:val="22"/>
          <w:szCs w:val="22"/>
        </w:rPr>
        <w:t>2029</w:t>
      </w:r>
      <w:r w:rsidRPr="00FF71B0">
        <w:rPr>
          <w:rFonts w:ascii="Arial" w:hAnsi="Arial" w:cs="Arial"/>
          <w:sz w:val="22"/>
          <w:szCs w:val="22"/>
        </w:rPr>
        <w:t xml:space="preserve"> and the associated % increases from </w:t>
      </w:r>
      <w:r w:rsidR="00AF22E8" w:rsidRPr="00FF71B0">
        <w:rPr>
          <w:rFonts w:ascii="Arial" w:hAnsi="Arial" w:cs="Arial"/>
          <w:sz w:val="22"/>
          <w:szCs w:val="22"/>
        </w:rPr>
        <w:t>2024</w:t>
      </w:r>
      <w:r w:rsidRPr="00FF71B0">
        <w:rPr>
          <w:rFonts w:ascii="Arial" w:hAnsi="Arial" w:cs="Arial"/>
          <w:sz w:val="22"/>
          <w:szCs w:val="22"/>
        </w:rPr>
        <w:t xml:space="preserve"> to </w:t>
      </w:r>
      <w:r w:rsidR="00AF22E8" w:rsidRPr="00FF71B0">
        <w:rPr>
          <w:rFonts w:ascii="Arial" w:hAnsi="Arial" w:cs="Arial"/>
          <w:sz w:val="22"/>
          <w:szCs w:val="22"/>
        </w:rPr>
        <w:t>2029</w:t>
      </w:r>
      <w:r w:rsidRPr="00FF71B0">
        <w:rPr>
          <w:rFonts w:ascii="Arial" w:hAnsi="Arial" w:cs="Arial"/>
          <w:sz w:val="22"/>
          <w:szCs w:val="22"/>
        </w:rPr>
        <w:t>.</w:t>
      </w:r>
    </w:p>
    <w:p w14:paraId="7C491BCC" w14:textId="77777777" w:rsidR="00205CEF" w:rsidRDefault="00205CEF">
      <w:pPr>
        <w:spacing w:after="160" w:line="259" w:lineRule="auto"/>
        <w:rPr>
          <w:rFonts w:ascii="Arial" w:hAnsi="Arial" w:cs="Arial"/>
        </w:rPr>
      </w:pPr>
      <w:r>
        <w:rPr>
          <w:rFonts w:ascii="Arial" w:hAnsi="Arial" w:cs="Arial"/>
        </w:rPr>
        <w:br w:type="page"/>
      </w:r>
    </w:p>
    <w:p w14:paraId="674F1C4D" w14:textId="77777777" w:rsidR="00031C47" w:rsidRPr="00AF22E8" w:rsidRDefault="00031C47" w:rsidP="0085353B">
      <w:pPr>
        <w:spacing w:before="120" w:after="120" w:line="240" w:lineRule="auto"/>
        <w:rPr>
          <w:rFonts w:ascii="Arial" w:hAnsi="Arial" w:cs="Arial"/>
        </w:rPr>
      </w:pPr>
    </w:p>
    <w:tbl>
      <w:tblPr>
        <w:tblStyle w:val="TableGrid"/>
        <w:tblW w:w="9351" w:type="dxa"/>
        <w:tblLook w:val="04A0" w:firstRow="1" w:lastRow="0" w:firstColumn="1" w:lastColumn="0" w:noHBand="0" w:noVBand="1"/>
      </w:tblPr>
      <w:tblGrid>
        <w:gridCol w:w="3539"/>
        <w:gridCol w:w="2126"/>
        <w:gridCol w:w="3686"/>
      </w:tblGrid>
      <w:tr w:rsidR="00A829AA" w:rsidRPr="00AF22E8" w14:paraId="1FE329AA" w14:textId="77777777" w:rsidTr="009967FB">
        <w:trPr>
          <w:tblHeader/>
        </w:trPr>
        <w:tc>
          <w:tcPr>
            <w:tcW w:w="3539" w:type="dxa"/>
            <w:shd w:val="clear" w:color="auto" w:fill="D9D9D9" w:themeFill="background1" w:themeFillShade="D9"/>
          </w:tcPr>
          <w:p w14:paraId="3AE66AEF" w14:textId="52294537" w:rsidR="00A829AA" w:rsidRPr="00AF22E8" w:rsidRDefault="00751529" w:rsidP="00912691">
            <w:pPr>
              <w:spacing w:after="120" w:line="240" w:lineRule="auto"/>
              <w:rPr>
                <w:rFonts w:ascii="Arial" w:hAnsi="Arial" w:cs="Arial"/>
                <w:b/>
                <w:bCs/>
                <w:color w:val="000000" w:themeColor="text1"/>
                <w:sz w:val="22"/>
                <w:szCs w:val="22"/>
              </w:rPr>
            </w:pPr>
            <w:bookmarkStart w:id="31" w:name="Title_5" w:colFirst="0" w:colLast="0"/>
            <w:r w:rsidRPr="00AF22E8">
              <w:rPr>
                <w:rFonts w:ascii="Arial" w:hAnsi="Arial" w:cs="Arial"/>
                <w:b/>
                <w:bCs/>
                <w:color w:val="000000" w:themeColor="text1"/>
                <w:sz w:val="22"/>
                <w:szCs w:val="22"/>
              </w:rPr>
              <w:t>Visitor type</w:t>
            </w:r>
          </w:p>
        </w:tc>
        <w:tc>
          <w:tcPr>
            <w:tcW w:w="2126" w:type="dxa"/>
            <w:shd w:val="clear" w:color="auto" w:fill="D9D9D9" w:themeFill="background1" w:themeFillShade="D9"/>
          </w:tcPr>
          <w:p w14:paraId="34A12BC4" w14:textId="59003D2F" w:rsidR="00A829AA" w:rsidRPr="00AF22E8" w:rsidRDefault="00AF22E8" w:rsidP="00912691">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2029</w:t>
            </w:r>
            <w:r w:rsidR="00A829AA" w:rsidRPr="00AF22E8">
              <w:rPr>
                <w:rFonts w:ascii="Arial" w:hAnsi="Arial" w:cs="Arial"/>
                <w:b/>
                <w:bCs/>
                <w:color w:val="000000" w:themeColor="text1"/>
                <w:sz w:val="22"/>
                <w:szCs w:val="22"/>
              </w:rPr>
              <w:t xml:space="preserve"> estimated </w:t>
            </w:r>
            <w:r w:rsidR="00751529" w:rsidRPr="00AF22E8">
              <w:rPr>
                <w:rFonts w:ascii="Arial" w:hAnsi="Arial" w:cs="Arial"/>
                <w:b/>
                <w:bCs/>
                <w:color w:val="000000" w:themeColor="text1"/>
                <w:sz w:val="22"/>
                <w:szCs w:val="22"/>
              </w:rPr>
              <w:t>visitors</w:t>
            </w:r>
          </w:p>
        </w:tc>
        <w:tc>
          <w:tcPr>
            <w:tcW w:w="3686" w:type="dxa"/>
            <w:shd w:val="clear" w:color="auto" w:fill="D9D9D9" w:themeFill="background1" w:themeFillShade="D9"/>
          </w:tcPr>
          <w:p w14:paraId="2618C8FC" w14:textId="76A8999C" w:rsidR="00A829AA" w:rsidRPr="00AF22E8" w:rsidRDefault="00A829AA"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Estimated % increase from </w:t>
            </w:r>
            <w:r w:rsidR="00AF22E8">
              <w:rPr>
                <w:rFonts w:ascii="Arial" w:hAnsi="Arial" w:cs="Arial"/>
                <w:b/>
                <w:bCs/>
                <w:color w:val="000000" w:themeColor="text1"/>
                <w:sz w:val="22"/>
                <w:szCs w:val="22"/>
              </w:rPr>
              <w:t>2024</w:t>
            </w:r>
            <w:r w:rsidRPr="00AF22E8">
              <w:rPr>
                <w:rFonts w:ascii="Arial" w:hAnsi="Arial" w:cs="Arial"/>
                <w:b/>
                <w:bCs/>
                <w:color w:val="000000" w:themeColor="text1"/>
                <w:sz w:val="22"/>
                <w:szCs w:val="22"/>
              </w:rPr>
              <w:t xml:space="preserve"> to </w:t>
            </w:r>
            <w:r w:rsidR="00AF22E8">
              <w:rPr>
                <w:rFonts w:ascii="Arial" w:hAnsi="Arial" w:cs="Arial"/>
                <w:b/>
                <w:bCs/>
                <w:color w:val="000000" w:themeColor="text1"/>
                <w:sz w:val="22"/>
                <w:szCs w:val="22"/>
              </w:rPr>
              <w:t>2029</w:t>
            </w:r>
          </w:p>
        </w:tc>
      </w:tr>
      <w:bookmarkEnd w:id="31"/>
      <w:tr w:rsidR="00A829AA" w:rsidRPr="00AF22E8" w14:paraId="2B338325" w14:textId="77777777" w:rsidTr="009967FB">
        <w:trPr>
          <w:tblHeader/>
        </w:trPr>
        <w:tc>
          <w:tcPr>
            <w:tcW w:w="3539" w:type="dxa"/>
          </w:tcPr>
          <w:p w14:paraId="68C2287C" w14:textId="1E7B0EB6" w:rsidR="00A829AA" w:rsidRPr="00AF22E8" w:rsidRDefault="00A829AA"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Total visitor</w:t>
            </w:r>
            <w:r w:rsidR="00BE163B" w:rsidRPr="00AF22E8">
              <w:rPr>
                <w:rFonts w:ascii="Arial" w:hAnsi="Arial" w:cs="Arial"/>
                <w:b/>
                <w:bCs/>
                <w:color w:val="000000" w:themeColor="text1"/>
                <w:sz w:val="22"/>
                <w:szCs w:val="22"/>
              </w:rPr>
              <w:t>s</w:t>
            </w:r>
          </w:p>
        </w:tc>
        <w:tc>
          <w:tcPr>
            <w:tcW w:w="2126" w:type="dxa"/>
          </w:tcPr>
          <w:p w14:paraId="7B98130E" w14:textId="52E02F15" w:rsidR="00A829AA" w:rsidRPr="00AF22E8" w:rsidRDefault="00BE163B"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1</w:t>
            </w:r>
            <w:r w:rsidR="009967FB">
              <w:rPr>
                <w:rFonts w:ascii="Arial" w:hAnsi="Arial" w:cs="Arial"/>
                <w:color w:val="000000" w:themeColor="text1"/>
                <w:sz w:val="22"/>
                <w:szCs w:val="22"/>
              </w:rPr>
              <w:t>05</w:t>
            </w:r>
            <w:r w:rsidRPr="00AF22E8">
              <w:rPr>
                <w:rFonts w:ascii="Arial" w:hAnsi="Arial" w:cs="Arial"/>
                <w:color w:val="000000" w:themeColor="text1"/>
                <w:sz w:val="22"/>
                <w:szCs w:val="22"/>
              </w:rPr>
              <w:t>.</w:t>
            </w:r>
            <w:r w:rsidR="009967FB">
              <w:rPr>
                <w:rFonts w:ascii="Arial" w:hAnsi="Arial" w:cs="Arial"/>
                <w:color w:val="000000" w:themeColor="text1"/>
                <w:sz w:val="22"/>
                <w:szCs w:val="22"/>
              </w:rPr>
              <w:t>2</w:t>
            </w:r>
            <w:r w:rsidRPr="00AF22E8">
              <w:rPr>
                <w:rFonts w:ascii="Arial" w:hAnsi="Arial" w:cs="Arial"/>
                <w:color w:val="000000" w:themeColor="text1"/>
                <w:sz w:val="22"/>
                <w:szCs w:val="22"/>
              </w:rPr>
              <w:t xml:space="preserve"> million</w:t>
            </w:r>
          </w:p>
        </w:tc>
        <w:tc>
          <w:tcPr>
            <w:tcW w:w="3686" w:type="dxa"/>
          </w:tcPr>
          <w:p w14:paraId="14200383" w14:textId="6A9B8502" w:rsidR="00A829AA" w:rsidRPr="00AF22E8" w:rsidRDefault="00A829A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5E4132">
              <w:rPr>
                <w:rFonts w:ascii="Arial" w:hAnsi="Arial" w:cs="Arial"/>
                <w:color w:val="000000" w:themeColor="text1"/>
                <w:sz w:val="22"/>
                <w:szCs w:val="22"/>
              </w:rPr>
              <w:t>21</w:t>
            </w:r>
            <w:r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r w:rsidR="00A829AA" w:rsidRPr="00AF22E8" w14:paraId="31F05D19" w14:textId="77777777" w:rsidTr="009967FB">
        <w:tc>
          <w:tcPr>
            <w:tcW w:w="3539" w:type="dxa"/>
          </w:tcPr>
          <w:p w14:paraId="723AF203" w14:textId="4B395684" w:rsidR="00A829AA" w:rsidRPr="00AF22E8" w:rsidRDefault="00A829AA"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Domestic daytrip </w:t>
            </w:r>
            <w:r w:rsidR="00BE163B" w:rsidRPr="00AF22E8">
              <w:rPr>
                <w:rFonts w:ascii="Arial" w:hAnsi="Arial" w:cs="Arial"/>
                <w:b/>
                <w:bCs/>
                <w:color w:val="000000" w:themeColor="text1"/>
                <w:sz w:val="22"/>
                <w:szCs w:val="22"/>
              </w:rPr>
              <w:t>visitors</w:t>
            </w:r>
          </w:p>
        </w:tc>
        <w:tc>
          <w:tcPr>
            <w:tcW w:w="2126" w:type="dxa"/>
          </w:tcPr>
          <w:p w14:paraId="5A63598B" w14:textId="73B4B012" w:rsidR="00A829AA" w:rsidRPr="00AF22E8" w:rsidRDefault="009967FB" w:rsidP="00912691">
            <w:pPr>
              <w:spacing w:after="120" w:line="240" w:lineRule="auto"/>
              <w:rPr>
                <w:rFonts w:ascii="Arial" w:hAnsi="Arial" w:cs="Arial"/>
                <w:color w:val="000000" w:themeColor="text1"/>
                <w:sz w:val="22"/>
                <w:szCs w:val="22"/>
              </w:rPr>
            </w:pPr>
            <w:r>
              <w:rPr>
                <w:rFonts w:ascii="Arial" w:hAnsi="Arial" w:cs="Arial"/>
                <w:color w:val="000000" w:themeColor="text1"/>
                <w:sz w:val="22"/>
                <w:szCs w:val="22"/>
              </w:rPr>
              <w:t>68</w:t>
            </w:r>
            <w:r w:rsidR="00366E33" w:rsidRPr="00AF22E8">
              <w:rPr>
                <w:rFonts w:ascii="Arial" w:hAnsi="Arial" w:cs="Arial"/>
                <w:color w:val="000000" w:themeColor="text1"/>
                <w:sz w:val="22"/>
                <w:szCs w:val="22"/>
              </w:rPr>
              <w:t>.</w:t>
            </w:r>
            <w:r>
              <w:rPr>
                <w:rFonts w:ascii="Arial" w:hAnsi="Arial" w:cs="Arial"/>
                <w:color w:val="000000" w:themeColor="text1"/>
                <w:sz w:val="22"/>
                <w:szCs w:val="22"/>
              </w:rPr>
              <w:t>7</w:t>
            </w:r>
            <w:r w:rsidR="00A829AA" w:rsidRPr="00AF22E8">
              <w:rPr>
                <w:rFonts w:ascii="Arial" w:hAnsi="Arial" w:cs="Arial"/>
                <w:color w:val="000000" w:themeColor="text1"/>
                <w:sz w:val="22"/>
                <w:szCs w:val="22"/>
              </w:rPr>
              <w:t xml:space="preserve"> </w:t>
            </w:r>
            <w:r w:rsidR="00366E33" w:rsidRPr="00AF22E8">
              <w:rPr>
                <w:rFonts w:ascii="Arial" w:hAnsi="Arial" w:cs="Arial"/>
                <w:color w:val="000000" w:themeColor="text1"/>
                <w:sz w:val="22"/>
                <w:szCs w:val="22"/>
              </w:rPr>
              <w:t>m</w:t>
            </w:r>
            <w:r w:rsidR="00A829AA" w:rsidRPr="00AF22E8">
              <w:rPr>
                <w:rFonts w:ascii="Arial" w:hAnsi="Arial" w:cs="Arial"/>
                <w:color w:val="000000" w:themeColor="text1"/>
                <w:sz w:val="22"/>
                <w:szCs w:val="22"/>
              </w:rPr>
              <w:t>illion</w:t>
            </w:r>
          </w:p>
        </w:tc>
        <w:tc>
          <w:tcPr>
            <w:tcW w:w="3686" w:type="dxa"/>
          </w:tcPr>
          <w:p w14:paraId="306F1E76" w14:textId="52019601" w:rsidR="00A829AA" w:rsidRPr="00AF22E8" w:rsidRDefault="00A829A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5E4132">
              <w:rPr>
                <w:rFonts w:ascii="Arial" w:hAnsi="Arial" w:cs="Arial"/>
                <w:color w:val="000000" w:themeColor="text1"/>
                <w:sz w:val="22"/>
                <w:szCs w:val="22"/>
              </w:rPr>
              <w:t>23</w:t>
            </w:r>
            <w:r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r w:rsidR="00A829AA" w:rsidRPr="00AF22E8" w14:paraId="35A98F92" w14:textId="77777777" w:rsidTr="009967FB">
        <w:tc>
          <w:tcPr>
            <w:tcW w:w="3539" w:type="dxa"/>
          </w:tcPr>
          <w:p w14:paraId="6D3065D1" w14:textId="676F2F28" w:rsidR="00A829AA" w:rsidRPr="00AF22E8" w:rsidRDefault="00A829AA"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Domestic overnight </w:t>
            </w:r>
            <w:r w:rsidR="00BE163B" w:rsidRPr="00AF22E8">
              <w:rPr>
                <w:rFonts w:ascii="Arial" w:hAnsi="Arial" w:cs="Arial"/>
                <w:b/>
                <w:bCs/>
                <w:color w:val="000000" w:themeColor="text1"/>
                <w:sz w:val="22"/>
                <w:szCs w:val="22"/>
              </w:rPr>
              <w:t>visitors</w:t>
            </w:r>
          </w:p>
        </w:tc>
        <w:tc>
          <w:tcPr>
            <w:tcW w:w="2126" w:type="dxa"/>
          </w:tcPr>
          <w:p w14:paraId="74BEE5AE" w14:textId="52CC6822" w:rsidR="00A829AA" w:rsidRPr="00AF22E8" w:rsidRDefault="00366E33"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32.</w:t>
            </w:r>
            <w:r w:rsidR="009967FB">
              <w:rPr>
                <w:rFonts w:ascii="Arial" w:hAnsi="Arial" w:cs="Arial"/>
                <w:color w:val="000000" w:themeColor="text1"/>
                <w:sz w:val="22"/>
                <w:szCs w:val="22"/>
              </w:rPr>
              <w:t>5</w:t>
            </w:r>
            <w:r w:rsidRPr="00AF22E8">
              <w:rPr>
                <w:rFonts w:ascii="Arial" w:hAnsi="Arial" w:cs="Arial"/>
                <w:color w:val="000000" w:themeColor="text1"/>
                <w:sz w:val="22"/>
                <w:szCs w:val="22"/>
              </w:rPr>
              <w:t xml:space="preserve"> m</w:t>
            </w:r>
            <w:r w:rsidR="00A829AA" w:rsidRPr="00AF22E8">
              <w:rPr>
                <w:rFonts w:ascii="Arial" w:hAnsi="Arial" w:cs="Arial"/>
                <w:color w:val="000000" w:themeColor="text1"/>
                <w:sz w:val="22"/>
                <w:szCs w:val="22"/>
              </w:rPr>
              <w:t>illion</w:t>
            </w:r>
          </w:p>
        </w:tc>
        <w:tc>
          <w:tcPr>
            <w:tcW w:w="3686" w:type="dxa"/>
          </w:tcPr>
          <w:p w14:paraId="5A7E2DA2" w14:textId="45379EBA" w:rsidR="00A829AA" w:rsidRPr="00AF22E8" w:rsidRDefault="00A829A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366E33" w:rsidRPr="00AF22E8">
              <w:rPr>
                <w:rFonts w:ascii="Arial" w:hAnsi="Arial" w:cs="Arial"/>
                <w:color w:val="000000" w:themeColor="text1"/>
                <w:sz w:val="22"/>
                <w:szCs w:val="22"/>
              </w:rPr>
              <w:t>13</w:t>
            </w:r>
            <w:r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r w:rsidR="00A829AA" w:rsidRPr="00AF22E8" w14:paraId="55BC86F3" w14:textId="77777777" w:rsidTr="009967FB">
        <w:tc>
          <w:tcPr>
            <w:tcW w:w="3539" w:type="dxa"/>
          </w:tcPr>
          <w:p w14:paraId="44F5A736" w14:textId="1F40D0CA" w:rsidR="00A829AA" w:rsidRPr="00AF22E8" w:rsidRDefault="00A829AA"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International overnight </w:t>
            </w:r>
            <w:r w:rsidR="00BE163B" w:rsidRPr="00AF22E8">
              <w:rPr>
                <w:rFonts w:ascii="Arial" w:hAnsi="Arial" w:cs="Arial"/>
                <w:b/>
                <w:bCs/>
                <w:color w:val="000000" w:themeColor="text1"/>
                <w:sz w:val="22"/>
                <w:szCs w:val="22"/>
              </w:rPr>
              <w:t>visitors</w:t>
            </w:r>
          </w:p>
        </w:tc>
        <w:tc>
          <w:tcPr>
            <w:tcW w:w="2126" w:type="dxa"/>
          </w:tcPr>
          <w:p w14:paraId="1F1C8DEC" w14:textId="5BAD59C0" w:rsidR="00A829AA" w:rsidRPr="00AF22E8" w:rsidRDefault="00912BC8" w:rsidP="00912691">
            <w:pPr>
              <w:spacing w:after="120" w:line="240" w:lineRule="auto"/>
              <w:rPr>
                <w:rFonts w:ascii="Arial" w:hAnsi="Arial" w:cs="Arial"/>
                <w:color w:val="000000" w:themeColor="text1"/>
                <w:sz w:val="22"/>
                <w:szCs w:val="22"/>
              </w:rPr>
            </w:pPr>
            <w:r>
              <w:rPr>
                <w:rFonts w:ascii="Arial" w:hAnsi="Arial" w:cs="Arial"/>
                <w:color w:val="000000" w:themeColor="text1"/>
                <w:sz w:val="22"/>
                <w:szCs w:val="22"/>
              </w:rPr>
              <w:t>3</w:t>
            </w:r>
            <w:r w:rsidR="00366E33" w:rsidRPr="00AF22E8">
              <w:rPr>
                <w:rFonts w:ascii="Arial" w:hAnsi="Arial" w:cs="Arial"/>
                <w:color w:val="000000" w:themeColor="text1"/>
                <w:sz w:val="22"/>
                <w:szCs w:val="22"/>
              </w:rPr>
              <w:t>.</w:t>
            </w:r>
            <w:r>
              <w:rPr>
                <w:rFonts w:ascii="Arial" w:hAnsi="Arial" w:cs="Arial"/>
                <w:color w:val="000000" w:themeColor="text1"/>
                <w:sz w:val="22"/>
                <w:szCs w:val="22"/>
              </w:rPr>
              <w:t>9</w:t>
            </w:r>
            <w:r w:rsidR="00A829AA" w:rsidRPr="00AF22E8">
              <w:rPr>
                <w:rFonts w:ascii="Arial" w:hAnsi="Arial" w:cs="Arial"/>
                <w:color w:val="000000" w:themeColor="text1"/>
                <w:sz w:val="22"/>
                <w:szCs w:val="22"/>
              </w:rPr>
              <w:t xml:space="preserve"> </w:t>
            </w:r>
            <w:r w:rsidR="00366E33" w:rsidRPr="00AF22E8">
              <w:rPr>
                <w:rFonts w:ascii="Arial" w:hAnsi="Arial" w:cs="Arial"/>
                <w:color w:val="000000" w:themeColor="text1"/>
                <w:sz w:val="22"/>
                <w:szCs w:val="22"/>
              </w:rPr>
              <w:t>m</w:t>
            </w:r>
            <w:r w:rsidR="00A829AA" w:rsidRPr="00AF22E8">
              <w:rPr>
                <w:rFonts w:ascii="Arial" w:hAnsi="Arial" w:cs="Arial"/>
                <w:color w:val="000000" w:themeColor="text1"/>
                <w:sz w:val="22"/>
                <w:szCs w:val="22"/>
              </w:rPr>
              <w:t>illion</w:t>
            </w:r>
          </w:p>
        </w:tc>
        <w:tc>
          <w:tcPr>
            <w:tcW w:w="3686" w:type="dxa"/>
          </w:tcPr>
          <w:p w14:paraId="257D5F44" w14:textId="2A9CE60C" w:rsidR="00A829AA" w:rsidRPr="00AF22E8" w:rsidRDefault="00A829AA" w:rsidP="00912691">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5E4132">
              <w:rPr>
                <w:rFonts w:ascii="Arial" w:hAnsi="Arial" w:cs="Arial"/>
                <w:color w:val="000000" w:themeColor="text1"/>
                <w:sz w:val="22"/>
                <w:szCs w:val="22"/>
              </w:rPr>
              <w:t>44</w:t>
            </w:r>
            <w:r w:rsidRPr="00AF22E8">
              <w:rPr>
                <w:rFonts w:ascii="Arial" w:hAnsi="Arial" w:cs="Arial"/>
                <w:color w:val="000000" w:themeColor="text1"/>
                <w:sz w:val="22"/>
                <w:szCs w:val="22"/>
              </w:rPr>
              <w:t xml:space="preserve">% from </w:t>
            </w:r>
            <w:r w:rsidR="00AF22E8">
              <w:rPr>
                <w:rFonts w:ascii="Arial" w:hAnsi="Arial" w:cs="Arial"/>
                <w:color w:val="000000" w:themeColor="text1"/>
                <w:sz w:val="22"/>
                <w:szCs w:val="22"/>
              </w:rPr>
              <w:t>2024</w:t>
            </w:r>
            <w:r w:rsidRPr="00AF22E8">
              <w:rPr>
                <w:rFonts w:ascii="Arial" w:hAnsi="Arial" w:cs="Arial"/>
                <w:color w:val="000000" w:themeColor="text1"/>
                <w:sz w:val="22"/>
                <w:szCs w:val="22"/>
              </w:rPr>
              <w:t xml:space="preserve"> to </w:t>
            </w:r>
            <w:r w:rsidR="00AF22E8">
              <w:rPr>
                <w:rFonts w:ascii="Arial" w:hAnsi="Arial" w:cs="Arial"/>
                <w:color w:val="000000" w:themeColor="text1"/>
                <w:sz w:val="22"/>
                <w:szCs w:val="22"/>
              </w:rPr>
              <w:t>2029</w:t>
            </w:r>
          </w:p>
        </w:tc>
      </w:tr>
    </w:tbl>
    <w:p w14:paraId="5354A835" w14:textId="4626CCAE" w:rsidR="00EF207D" w:rsidRPr="00EF207D" w:rsidRDefault="00EF207D" w:rsidP="00EF207D">
      <w:pPr>
        <w:rPr>
          <w:rFonts w:ascii="Arial" w:hAnsi="Arial" w:cs="Arial"/>
          <w:color w:val="000000" w:themeColor="text1"/>
          <w:sz w:val="22"/>
          <w:szCs w:val="22"/>
        </w:rPr>
      </w:pPr>
      <w:r>
        <w:rPr>
          <w:rFonts w:ascii="Arial" w:hAnsi="Arial" w:cs="Arial"/>
          <w:color w:val="000000" w:themeColor="text1"/>
          <w:sz w:val="22"/>
          <w:szCs w:val="22"/>
        </w:rPr>
        <w:t xml:space="preserve">To note: </w:t>
      </w:r>
      <w:r w:rsidR="00DF154D">
        <w:rPr>
          <w:rFonts w:ascii="Arial" w:hAnsi="Arial" w:cs="Arial"/>
          <w:color w:val="000000" w:themeColor="text1"/>
          <w:sz w:val="22"/>
          <w:szCs w:val="22"/>
        </w:rPr>
        <w:t>r</w:t>
      </w:r>
      <w:r w:rsidRPr="00EF207D">
        <w:rPr>
          <w:rFonts w:ascii="Arial" w:hAnsi="Arial" w:cs="Arial"/>
          <w:color w:val="000000" w:themeColor="text1"/>
          <w:sz w:val="22"/>
          <w:szCs w:val="22"/>
        </w:rPr>
        <w:t>ounding may impact estimates.</w:t>
      </w:r>
    </w:p>
    <w:p w14:paraId="3F104655" w14:textId="0E6F5126" w:rsidR="00744163" w:rsidRPr="0055347A" w:rsidRDefault="005940EB" w:rsidP="0085353B">
      <w:pPr>
        <w:pStyle w:val="Heading2"/>
        <w:spacing w:before="80" w:line="240" w:lineRule="auto"/>
        <w:rPr>
          <w:rFonts w:ascii="Arial" w:hAnsi="Arial" w:cs="Arial"/>
          <w:color w:val="002060"/>
        </w:rPr>
      </w:pPr>
      <w:bookmarkStart w:id="32" w:name="_Toc184116520"/>
      <w:r w:rsidRPr="0055347A">
        <w:rPr>
          <w:rFonts w:ascii="Arial" w:hAnsi="Arial" w:cs="Arial"/>
          <w:color w:val="002060"/>
        </w:rPr>
        <w:t xml:space="preserve">4.2 </w:t>
      </w:r>
      <w:r w:rsidR="006643FB" w:rsidRPr="0055347A">
        <w:rPr>
          <w:rFonts w:ascii="Arial" w:hAnsi="Arial" w:cs="Arial"/>
          <w:color w:val="002060"/>
        </w:rPr>
        <w:t>Data table: Actual and projected visitor</w:t>
      </w:r>
      <w:r w:rsidR="0081248A" w:rsidRPr="0055347A">
        <w:rPr>
          <w:rFonts w:ascii="Arial" w:hAnsi="Arial" w:cs="Arial"/>
          <w:color w:val="002060"/>
        </w:rPr>
        <w:t xml:space="preserve"> numbers</w:t>
      </w:r>
      <w:r w:rsidR="00BC257C" w:rsidRPr="0055347A">
        <w:rPr>
          <w:rFonts w:ascii="Arial" w:hAnsi="Arial" w:cs="Arial"/>
          <w:color w:val="002060"/>
        </w:rPr>
        <w:t xml:space="preserve"> to</w:t>
      </w:r>
      <w:r w:rsidR="006643FB" w:rsidRPr="0055347A">
        <w:rPr>
          <w:rFonts w:ascii="Arial" w:hAnsi="Arial" w:cs="Arial"/>
          <w:color w:val="002060"/>
        </w:rPr>
        <w:t xml:space="preserve"> Victoria from 20</w:t>
      </w:r>
      <w:r w:rsidR="00142B4E" w:rsidRPr="0055347A">
        <w:rPr>
          <w:rFonts w:ascii="Arial" w:hAnsi="Arial" w:cs="Arial"/>
          <w:color w:val="002060"/>
        </w:rPr>
        <w:t>1</w:t>
      </w:r>
      <w:r w:rsidR="00B16431" w:rsidRPr="0055347A">
        <w:rPr>
          <w:rFonts w:ascii="Arial" w:hAnsi="Arial" w:cs="Arial"/>
          <w:color w:val="002060"/>
        </w:rPr>
        <w:t>9</w:t>
      </w:r>
      <w:r w:rsidR="006643FB" w:rsidRPr="0055347A">
        <w:rPr>
          <w:rFonts w:ascii="Arial" w:hAnsi="Arial" w:cs="Arial"/>
          <w:color w:val="002060"/>
        </w:rPr>
        <w:t xml:space="preserve"> to </w:t>
      </w:r>
      <w:r w:rsidR="00AF22E8" w:rsidRPr="0055347A">
        <w:rPr>
          <w:rFonts w:ascii="Arial" w:hAnsi="Arial" w:cs="Arial"/>
          <w:color w:val="002060"/>
        </w:rPr>
        <w:t>2029</w:t>
      </w:r>
      <w:bookmarkEnd w:id="32"/>
    </w:p>
    <w:p w14:paraId="5A36CA29" w14:textId="698243BA" w:rsidR="006643FB" w:rsidRPr="00FF71B0" w:rsidRDefault="00C615EE" w:rsidP="0085353B">
      <w:pPr>
        <w:spacing w:before="120" w:after="120" w:line="240" w:lineRule="auto"/>
        <w:rPr>
          <w:rFonts w:ascii="Arial" w:hAnsi="Arial" w:cs="Arial"/>
          <w:sz w:val="22"/>
          <w:szCs w:val="22"/>
        </w:rPr>
      </w:pPr>
      <w:r w:rsidRPr="00FF71B0">
        <w:rPr>
          <w:rFonts w:ascii="Arial" w:hAnsi="Arial" w:cs="Arial"/>
          <w:sz w:val="22"/>
          <w:szCs w:val="22"/>
        </w:rPr>
        <w:t xml:space="preserve">The table below provides </w:t>
      </w:r>
      <w:r w:rsidR="00700418" w:rsidRPr="00FF71B0">
        <w:rPr>
          <w:rFonts w:ascii="Arial" w:hAnsi="Arial" w:cs="Arial"/>
          <w:sz w:val="22"/>
          <w:szCs w:val="22"/>
        </w:rPr>
        <w:t xml:space="preserve">estimates of </w:t>
      </w:r>
      <w:r w:rsidRPr="00FF71B0">
        <w:rPr>
          <w:rFonts w:ascii="Arial" w:hAnsi="Arial" w:cs="Arial"/>
          <w:sz w:val="22"/>
          <w:szCs w:val="22"/>
        </w:rPr>
        <w:t>visitor numbers for inbound, domestic daytrip, domestic overnight and total visitors for 201</w:t>
      </w:r>
      <w:r w:rsidR="00B16431" w:rsidRPr="00FF71B0">
        <w:rPr>
          <w:rFonts w:ascii="Arial" w:hAnsi="Arial" w:cs="Arial"/>
          <w:sz w:val="22"/>
          <w:szCs w:val="22"/>
        </w:rPr>
        <w:t>9</w:t>
      </w:r>
      <w:r w:rsidRPr="00FF71B0">
        <w:rPr>
          <w:rFonts w:ascii="Arial" w:hAnsi="Arial" w:cs="Arial"/>
          <w:sz w:val="22"/>
          <w:szCs w:val="22"/>
        </w:rPr>
        <w:t xml:space="preserve"> through to </w:t>
      </w:r>
      <w:r w:rsidR="00AF22E8" w:rsidRPr="00FF71B0">
        <w:rPr>
          <w:rFonts w:ascii="Arial" w:hAnsi="Arial" w:cs="Arial"/>
          <w:sz w:val="22"/>
          <w:szCs w:val="22"/>
        </w:rPr>
        <w:t>2029</w:t>
      </w:r>
      <w:r w:rsidRPr="00FF71B0">
        <w:rPr>
          <w:rFonts w:ascii="Arial" w:hAnsi="Arial" w:cs="Arial"/>
          <w:sz w:val="22"/>
          <w:szCs w:val="22"/>
        </w:rPr>
        <w:t xml:space="preserve">. </w:t>
      </w:r>
      <w:r w:rsidR="004033E9" w:rsidRPr="00FF71B0">
        <w:rPr>
          <w:rFonts w:ascii="Arial" w:hAnsi="Arial" w:cs="Arial"/>
          <w:sz w:val="22"/>
          <w:szCs w:val="22"/>
        </w:rPr>
        <w:t>Visitor</w:t>
      </w:r>
      <w:r w:rsidR="00BD23D7" w:rsidRPr="00FF71B0">
        <w:rPr>
          <w:rFonts w:ascii="Arial" w:hAnsi="Arial" w:cs="Arial"/>
          <w:sz w:val="22"/>
          <w:szCs w:val="22"/>
        </w:rPr>
        <w:t xml:space="preserve"> numbers</w:t>
      </w:r>
      <w:r w:rsidRPr="00FF71B0">
        <w:rPr>
          <w:rFonts w:ascii="Arial" w:hAnsi="Arial" w:cs="Arial"/>
          <w:sz w:val="22"/>
          <w:szCs w:val="22"/>
        </w:rPr>
        <w:t xml:space="preserve"> from 201</w:t>
      </w:r>
      <w:r w:rsidR="00867A65" w:rsidRPr="00FF71B0">
        <w:rPr>
          <w:rFonts w:ascii="Arial" w:hAnsi="Arial" w:cs="Arial"/>
          <w:sz w:val="22"/>
          <w:szCs w:val="22"/>
        </w:rPr>
        <w:t>9</w:t>
      </w:r>
      <w:r w:rsidRPr="00FF71B0">
        <w:rPr>
          <w:rFonts w:ascii="Arial" w:hAnsi="Arial" w:cs="Arial"/>
          <w:sz w:val="22"/>
          <w:szCs w:val="22"/>
        </w:rPr>
        <w:t xml:space="preserve"> to 202</w:t>
      </w:r>
      <w:r w:rsidR="00D94C15" w:rsidRPr="00FF71B0">
        <w:rPr>
          <w:rFonts w:ascii="Arial" w:hAnsi="Arial" w:cs="Arial"/>
          <w:sz w:val="22"/>
          <w:szCs w:val="22"/>
        </w:rPr>
        <w:t>3</w:t>
      </w:r>
      <w:r w:rsidRPr="00FF71B0">
        <w:rPr>
          <w:rFonts w:ascii="Arial" w:hAnsi="Arial" w:cs="Arial"/>
          <w:sz w:val="22"/>
          <w:szCs w:val="22"/>
        </w:rPr>
        <w:t xml:space="preserve"> are actual </w:t>
      </w:r>
      <w:r w:rsidR="00BD23D7" w:rsidRPr="00FF71B0">
        <w:rPr>
          <w:rFonts w:ascii="Arial" w:hAnsi="Arial" w:cs="Arial"/>
          <w:sz w:val="22"/>
          <w:szCs w:val="22"/>
        </w:rPr>
        <w:t xml:space="preserve">values </w:t>
      </w:r>
      <w:r w:rsidRPr="00FF71B0">
        <w:rPr>
          <w:rFonts w:ascii="Arial" w:hAnsi="Arial" w:cs="Arial"/>
          <w:sz w:val="22"/>
          <w:szCs w:val="22"/>
        </w:rPr>
        <w:t xml:space="preserve">while </w:t>
      </w:r>
      <w:r w:rsidR="00BD23D7" w:rsidRPr="00FF71B0">
        <w:rPr>
          <w:rFonts w:ascii="Arial" w:hAnsi="Arial" w:cs="Arial"/>
          <w:sz w:val="22"/>
          <w:szCs w:val="22"/>
        </w:rPr>
        <w:t>visitor numbers</w:t>
      </w:r>
      <w:r w:rsidRPr="00FF71B0">
        <w:rPr>
          <w:rFonts w:ascii="Arial" w:hAnsi="Arial" w:cs="Arial"/>
          <w:sz w:val="22"/>
          <w:szCs w:val="22"/>
        </w:rPr>
        <w:t xml:space="preserve"> for </w:t>
      </w:r>
      <w:r w:rsidR="00AF22E8" w:rsidRPr="00FF71B0">
        <w:rPr>
          <w:rFonts w:ascii="Arial" w:hAnsi="Arial" w:cs="Arial"/>
          <w:sz w:val="22"/>
          <w:szCs w:val="22"/>
        </w:rPr>
        <w:t>2024</w:t>
      </w:r>
      <w:r w:rsidRPr="00FF71B0">
        <w:rPr>
          <w:rFonts w:ascii="Arial" w:hAnsi="Arial" w:cs="Arial"/>
          <w:sz w:val="22"/>
          <w:szCs w:val="22"/>
        </w:rPr>
        <w:t xml:space="preserve"> to </w:t>
      </w:r>
      <w:r w:rsidR="00AF22E8" w:rsidRPr="00FF71B0">
        <w:rPr>
          <w:rFonts w:ascii="Arial" w:hAnsi="Arial" w:cs="Arial"/>
          <w:sz w:val="22"/>
          <w:szCs w:val="22"/>
        </w:rPr>
        <w:t>2029</w:t>
      </w:r>
      <w:r w:rsidRPr="00FF71B0">
        <w:rPr>
          <w:rFonts w:ascii="Arial" w:hAnsi="Arial" w:cs="Arial"/>
          <w:sz w:val="22"/>
          <w:szCs w:val="22"/>
        </w:rPr>
        <w:t xml:space="preserve"> are projected.</w:t>
      </w:r>
    </w:p>
    <w:tbl>
      <w:tblPr>
        <w:tblStyle w:val="TableGrid"/>
        <w:tblW w:w="9351" w:type="dxa"/>
        <w:tblLook w:val="04A0" w:firstRow="1" w:lastRow="0" w:firstColumn="1" w:lastColumn="0" w:noHBand="0" w:noVBand="1"/>
      </w:tblPr>
      <w:tblGrid>
        <w:gridCol w:w="846"/>
        <w:gridCol w:w="2126"/>
        <w:gridCol w:w="2126"/>
        <w:gridCol w:w="2126"/>
        <w:gridCol w:w="2127"/>
      </w:tblGrid>
      <w:tr w:rsidR="00492445" w:rsidRPr="00AF22E8" w14:paraId="7447FAF6" w14:textId="77777777" w:rsidTr="00E7473F">
        <w:trPr>
          <w:tblHeader/>
        </w:trPr>
        <w:tc>
          <w:tcPr>
            <w:tcW w:w="846" w:type="dxa"/>
            <w:shd w:val="clear" w:color="auto" w:fill="D9D9D9" w:themeFill="background1" w:themeFillShade="D9"/>
          </w:tcPr>
          <w:p w14:paraId="02F66529" w14:textId="77777777" w:rsidR="006643FB" w:rsidRPr="00AF22E8" w:rsidRDefault="006643FB" w:rsidP="00912691">
            <w:pPr>
              <w:spacing w:after="120" w:line="240" w:lineRule="auto"/>
              <w:rPr>
                <w:rFonts w:ascii="Arial" w:hAnsi="Arial" w:cs="Arial"/>
                <w:b/>
                <w:bCs/>
                <w:color w:val="000000" w:themeColor="text1"/>
                <w:sz w:val="22"/>
                <w:szCs w:val="22"/>
              </w:rPr>
            </w:pPr>
            <w:bookmarkStart w:id="33" w:name="Title_6" w:colFirst="0" w:colLast="0"/>
            <w:r w:rsidRPr="00AF22E8">
              <w:rPr>
                <w:rFonts w:ascii="Arial" w:hAnsi="Arial" w:cs="Arial"/>
                <w:b/>
                <w:bCs/>
                <w:color w:val="000000" w:themeColor="text1"/>
                <w:sz w:val="22"/>
                <w:szCs w:val="22"/>
              </w:rPr>
              <w:t>Year</w:t>
            </w:r>
          </w:p>
        </w:tc>
        <w:tc>
          <w:tcPr>
            <w:tcW w:w="2126" w:type="dxa"/>
            <w:shd w:val="clear" w:color="auto" w:fill="D9D9D9" w:themeFill="background1" w:themeFillShade="D9"/>
          </w:tcPr>
          <w:p w14:paraId="41937657" w14:textId="7DF91EEC" w:rsidR="006643FB" w:rsidRPr="00AF22E8" w:rsidRDefault="002A2ECD"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International </w:t>
            </w:r>
            <w:r w:rsidR="00200C4D" w:rsidRPr="00AF22E8">
              <w:rPr>
                <w:rFonts w:ascii="Arial" w:hAnsi="Arial" w:cs="Arial"/>
                <w:b/>
                <w:bCs/>
                <w:color w:val="000000" w:themeColor="text1"/>
                <w:sz w:val="22"/>
                <w:szCs w:val="22"/>
              </w:rPr>
              <w:t>visitors</w:t>
            </w:r>
            <w:r w:rsidR="006643FB" w:rsidRPr="00AF22E8">
              <w:rPr>
                <w:rFonts w:ascii="Arial" w:hAnsi="Arial" w:cs="Arial"/>
                <w:b/>
                <w:bCs/>
                <w:color w:val="000000" w:themeColor="text1"/>
                <w:sz w:val="22"/>
                <w:szCs w:val="22"/>
              </w:rPr>
              <w:t xml:space="preserve"> </w:t>
            </w:r>
          </w:p>
        </w:tc>
        <w:tc>
          <w:tcPr>
            <w:tcW w:w="2126" w:type="dxa"/>
            <w:shd w:val="clear" w:color="auto" w:fill="D9D9D9" w:themeFill="background1" w:themeFillShade="D9"/>
          </w:tcPr>
          <w:p w14:paraId="512FB409" w14:textId="2040064B" w:rsidR="006643FB" w:rsidRPr="00AF22E8" w:rsidRDefault="006643FB"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Domestic daytrip </w:t>
            </w:r>
            <w:r w:rsidR="00200C4D" w:rsidRPr="00AF22E8">
              <w:rPr>
                <w:rFonts w:ascii="Arial" w:hAnsi="Arial" w:cs="Arial"/>
                <w:b/>
                <w:bCs/>
                <w:color w:val="000000" w:themeColor="text1"/>
                <w:sz w:val="22"/>
                <w:szCs w:val="22"/>
              </w:rPr>
              <w:t>visitors</w:t>
            </w:r>
          </w:p>
        </w:tc>
        <w:tc>
          <w:tcPr>
            <w:tcW w:w="2126" w:type="dxa"/>
            <w:shd w:val="clear" w:color="auto" w:fill="D9D9D9" w:themeFill="background1" w:themeFillShade="D9"/>
          </w:tcPr>
          <w:p w14:paraId="2E1A923D" w14:textId="533E387F" w:rsidR="006643FB" w:rsidRPr="00AF22E8" w:rsidRDefault="006643FB"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Domestic overnight </w:t>
            </w:r>
            <w:r w:rsidR="00200C4D" w:rsidRPr="00AF22E8">
              <w:rPr>
                <w:rFonts w:ascii="Arial" w:hAnsi="Arial" w:cs="Arial"/>
                <w:b/>
                <w:bCs/>
                <w:color w:val="000000" w:themeColor="text1"/>
                <w:sz w:val="22"/>
                <w:szCs w:val="22"/>
              </w:rPr>
              <w:t xml:space="preserve">visitors </w:t>
            </w:r>
          </w:p>
        </w:tc>
        <w:tc>
          <w:tcPr>
            <w:tcW w:w="2127" w:type="dxa"/>
            <w:shd w:val="clear" w:color="auto" w:fill="D9D9D9" w:themeFill="background1" w:themeFillShade="D9"/>
          </w:tcPr>
          <w:p w14:paraId="4C690740" w14:textId="082939AC" w:rsidR="006643FB" w:rsidRPr="00AF22E8" w:rsidRDefault="006643FB" w:rsidP="00912691">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Total </w:t>
            </w:r>
            <w:r w:rsidR="00200C4D" w:rsidRPr="00AF22E8">
              <w:rPr>
                <w:rFonts w:ascii="Arial" w:hAnsi="Arial" w:cs="Arial"/>
                <w:b/>
                <w:bCs/>
                <w:color w:val="000000" w:themeColor="text1"/>
                <w:sz w:val="22"/>
                <w:szCs w:val="22"/>
              </w:rPr>
              <w:t xml:space="preserve">visitors </w:t>
            </w:r>
          </w:p>
        </w:tc>
      </w:tr>
      <w:bookmarkEnd w:id="33"/>
      <w:tr w:rsidR="005940EB" w:rsidRPr="00AF22E8" w14:paraId="3FF3CF9C" w14:textId="77777777" w:rsidTr="00E7473F">
        <w:trPr>
          <w:trHeight w:val="340"/>
        </w:trPr>
        <w:tc>
          <w:tcPr>
            <w:tcW w:w="846" w:type="dxa"/>
          </w:tcPr>
          <w:p w14:paraId="723C392D" w14:textId="3D2115FF"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2019</w:t>
            </w:r>
          </w:p>
        </w:tc>
        <w:tc>
          <w:tcPr>
            <w:tcW w:w="2126" w:type="dxa"/>
          </w:tcPr>
          <w:p w14:paraId="0B6A767A" w14:textId="3C877896"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3.1 million</w:t>
            </w:r>
          </w:p>
        </w:tc>
        <w:tc>
          <w:tcPr>
            <w:tcW w:w="2126" w:type="dxa"/>
          </w:tcPr>
          <w:p w14:paraId="0E4FD501" w14:textId="6D1693D2"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67.5 million</w:t>
            </w:r>
          </w:p>
        </w:tc>
        <w:tc>
          <w:tcPr>
            <w:tcW w:w="2126" w:type="dxa"/>
          </w:tcPr>
          <w:p w14:paraId="27AB410F" w14:textId="22234E2C"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29.7 million</w:t>
            </w:r>
          </w:p>
        </w:tc>
        <w:tc>
          <w:tcPr>
            <w:tcW w:w="2127" w:type="dxa"/>
          </w:tcPr>
          <w:p w14:paraId="6FEBB10A" w14:textId="5B1E31FD"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100.4 million</w:t>
            </w:r>
          </w:p>
        </w:tc>
      </w:tr>
      <w:tr w:rsidR="005940EB" w:rsidRPr="00AF22E8" w14:paraId="2C8418C0" w14:textId="77777777" w:rsidTr="00E7473F">
        <w:trPr>
          <w:trHeight w:val="340"/>
        </w:trPr>
        <w:tc>
          <w:tcPr>
            <w:tcW w:w="846" w:type="dxa"/>
          </w:tcPr>
          <w:p w14:paraId="07705AA2" w14:textId="30708A9B"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2020</w:t>
            </w:r>
          </w:p>
        </w:tc>
        <w:tc>
          <w:tcPr>
            <w:tcW w:w="2126" w:type="dxa"/>
          </w:tcPr>
          <w:p w14:paraId="7C51ACD9" w14:textId="3429DE3F"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0.6 million</w:t>
            </w:r>
          </w:p>
        </w:tc>
        <w:tc>
          <w:tcPr>
            <w:tcW w:w="2126" w:type="dxa"/>
          </w:tcPr>
          <w:p w14:paraId="64610348" w14:textId="1631D8C0"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35.1 million</w:t>
            </w:r>
          </w:p>
        </w:tc>
        <w:tc>
          <w:tcPr>
            <w:tcW w:w="2126" w:type="dxa"/>
          </w:tcPr>
          <w:p w14:paraId="78C7C422" w14:textId="3F7AAEDF"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14.0 million</w:t>
            </w:r>
          </w:p>
        </w:tc>
        <w:tc>
          <w:tcPr>
            <w:tcW w:w="2127" w:type="dxa"/>
          </w:tcPr>
          <w:p w14:paraId="22BC4A88" w14:textId="76B06266"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49.7 million</w:t>
            </w:r>
          </w:p>
        </w:tc>
      </w:tr>
      <w:tr w:rsidR="005940EB" w:rsidRPr="00AF22E8" w14:paraId="695B0A21" w14:textId="77777777" w:rsidTr="00E7473F">
        <w:trPr>
          <w:trHeight w:val="340"/>
        </w:trPr>
        <w:tc>
          <w:tcPr>
            <w:tcW w:w="846" w:type="dxa"/>
          </w:tcPr>
          <w:p w14:paraId="62B65351" w14:textId="519D8880"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2021</w:t>
            </w:r>
          </w:p>
        </w:tc>
        <w:tc>
          <w:tcPr>
            <w:tcW w:w="2126" w:type="dxa"/>
          </w:tcPr>
          <w:p w14:paraId="07A734E7" w14:textId="453FE2DD"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0.1 million</w:t>
            </w:r>
          </w:p>
        </w:tc>
        <w:tc>
          <w:tcPr>
            <w:tcW w:w="2126" w:type="dxa"/>
          </w:tcPr>
          <w:p w14:paraId="34A539AA" w14:textId="1155022A"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39.7 million</w:t>
            </w:r>
          </w:p>
        </w:tc>
        <w:tc>
          <w:tcPr>
            <w:tcW w:w="2126" w:type="dxa"/>
          </w:tcPr>
          <w:p w14:paraId="41A20DFE" w14:textId="60938663"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18.0 million</w:t>
            </w:r>
          </w:p>
        </w:tc>
        <w:tc>
          <w:tcPr>
            <w:tcW w:w="2127" w:type="dxa"/>
          </w:tcPr>
          <w:p w14:paraId="00FF9DF2" w14:textId="3D805AD0"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57.8 million</w:t>
            </w:r>
          </w:p>
        </w:tc>
      </w:tr>
      <w:tr w:rsidR="005940EB" w:rsidRPr="00AF22E8" w14:paraId="2EEC0770" w14:textId="77777777" w:rsidTr="00E7473F">
        <w:trPr>
          <w:trHeight w:val="340"/>
        </w:trPr>
        <w:tc>
          <w:tcPr>
            <w:tcW w:w="846" w:type="dxa"/>
          </w:tcPr>
          <w:p w14:paraId="64A07D30" w14:textId="0028A9FE"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2022</w:t>
            </w:r>
          </w:p>
        </w:tc>
        <w:tc>
          <w:tcPr>
            <w:tcW w:w="2126" w:type="dxa"/>
          </w:tcPr>
          <w:p w14:paraId="7BEF80A3" w14:textId="3EEF192B"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1.0 million</w:t>
            </w:r>
          </w:p>
        </w:tc>
        <w:tc>
          <w:tcPr>
            <w:tcW w:w="2126" w:type="dxa"/>
          </w:tcPr>
          <w:p w14:paraId="2E26E421" w14:textId="0540B285"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55.9 million</w:t>
            </w:r>
          </w:p>
        </w:tc>
        <w:tc>
          <w:tcPr>
            <w:tcW w:w="2126" w:type="dxa"/>
          </w:tcPr>
          <w:p w14:paraId="250A83A8" w14:textId="16977AF4"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26.2 million</w:t>
            </w:r>
          </w:p>
        </w:tc>
        <w:tc>
          <w:tcPr>
            <w:tcW w:w="2127" w:type="dxa"/>
          </w:tcPr>
          <w:p w14:paraId="1F698A51" w14:textId="4B6DCAE8"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83.1 million</w:t>
            </w:r>
          </w:p>
        </w:tc>
      </w:tr>
      <w:tr w:rsidR="005940EB" w:rsidRPr="00AF22E8" w14:paraId="24D6A4C5" w14:textId="77777777" w:rsidTr="00E7473F">
        <w:trPr>
          <w:trHeight w:val="340"/>
        </w:trPr>
        <w:tc>
          <w:tcPr>
            <w:tcW w:w="846" w:type="dxa"/>
          </w:tcPr>
          <w:p w14:paraId="2FE62E80" w14:textId="5A37117D" w:rsidR="005940EB" w:rsidRPr="00AF22E8" w:rsidRDefault="005940EB" w:rsidP="005940EB">
            <w:pPr>
              <w:spacing w:after="120" w:line="240" w:lineRule="auto"/>
              <w:rPr>
                <w:rFonts w:ascii="Arial" w:hAnsi="Arial" w:cs="Arial"/>
                <w:b/>
                <w:bCs/>
                <w:color w:val="000000" w:themeColor="text1"/>
                <w:sz w:val="22"/>
                <w:szCs w:val="22"/>
              </w:rPr>
            </w:pPr>
            <w:r>
              <w:rPr>
                <w:rFonts w:ascii="Arial" w:hAnsi="Arial" w:cs="Arial"/>
                <w:b/>
                <w:bCs/>
              </w:rPr>
              <w:t>202</w:t>
            </w:r>
            <w:r w:rsidR="00867A65">
              <w:rPr>
                <w:rFonts w:ascii="Arial" w:hAnsi="Arial" w:cs="Arial"/>
                <w:b/>
                <w:bCs/>
              </w:rPr>
              <w:t>3</w:t>
            </w:r>
          </w:p>
        </w:tc>
        <w:tc>
          <w:tcPr>
            <w:tcW w:w="2126" w:type="dxa"/>
          </w:tcPr>
          <w:p w14:paraId="2C92C409" w14:textId="70B6FE61"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2.</w:t>
            </w:r>
            <w:r w:rsidR="00EC3034">
              <w:rPr>
                <w:rFonts w:ascii="Arial" w:hAnsi="Arial" w:cs="Arial"/>
              </w:rPr>
              <w:t>1</w:t>
            </w:r>
            <w:r w:rsidRPr="00AF22E8">
              <w:rPr>
                <w:rFonts w:ascii="Arial" w:hAnsi="Arial" w:cs="Arial"/>
              </w:rPr>
              <w:t xml:space="preserve"> million</w:t>
            </w:r>
          </w:p>
        </w:tc>
        <w:tc>
          <w:tcPr>
            <w:tcW w:w="2126" w:type="dxa"/>
          </w:tcPr>
          <w:p w14:paraId="15775774" w14:textId="54021F17" w:rsidR="005940EB" w:rsidRPr="00AF22E8" w:rsidRDefault="00EC3034" w:rsidP="005940EB">
            <w:pPr>
              <w:spacing w:after="120" w:line="240" w:lineRule="auto"/>
              <w:rPr>
                <w:rFonts w:ascii="Arial" w:hAnsi="Arial" w:cs="Arial"/>
                <w:color w:val="000000" w:themeColor="text1"/>
                <w:sz w:val="22"/>
                <w:szCs w:val="22"/>
              </w:rPr>
            </w:pPr>
            <w:r>
              <w:rPr>
                <w:rFonts w:ascii="Arial" w:hAnsi="Arial" w:cs="Arial"/>
              </w:rPr>
              <w:t>58.6</w:t>
            </w:r>
            <w:r w:rsidR="005940EB" w:rsidRPr="00AF22E8">
              <w:rPr>
                <w:rFonts w:ascii="Arial" w:hAnsi="Arial" w:cs="Arial"/>
              </w:rPr>
              <w:t xml:space="preserve"> million</w:t>
            </w:r>
          </w:p>
        </w:tc>
        <w:tc>
          <w:tcPr>
            <w:tcW w:w="2126" w:type="dxa"/>
          </w:tcPr>
          <w:p w14:paraId="1E62A9E0" w14:textId="4C54A733"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28.5 million</w:t>
            </w:r>
          </w:p>
        </w:tc>
        <w:tc>
          <w:tcPr>
            <w:tcW w:w="2127" w:type="dxa"/>
          </w:tcPr>
          <w:p w14:paraId="4A1BBAB6" w14:textId="7B882078" w:rsidR="005940EB" w:rsidRPr="00AF22E8" w:rsidRDefault="00230BD0" w:rsidP="005940EB">
            <w:pPr>
              <w:spacing w:after="120" w:line="240" w:lineRule="auto"/>
              <w:rPr>
                <w:rFonts w:ascii="Arial" w:hAnsi="Arial" w:cs="Arial"/>
                <w:color w:val="000000" w:themeColor="text1"/>
                <w:sz w:val="22"/>
                <w:szCs w:val="22"/>
              </w:rPr>
            </w:pPr>
            <w:r>
              <w:rPr>
                <w:rFonts w:ascii="Arial" w:hAnsi="Arial" w:cs="Arial"/>
              </w:rPr>
              <w:t>8</w:t>
            </w:r>
            <w:r w:rsidR="005940EB" w:rsidRPr="00AF22E8">
              <w:rPr>
                <w:rFonts w:ascii="Arial" w:hAnsi="Arial" w:cs="Arial"/>
              </w:rPr>
              <w:t>9.</w:t>
            </w:r>
            <w:r>
              <w:rPr>
                <w:rFonts w:ascii="Arial" w:hAnsi="Arial" w:cs="Arial"/>
              </w:rPr>
              <w:t>2</w:t>
            </w:r>
            <w:r w:rsidR="005940EB" w:rsidRPr="00AF22E8">
              <w:rPr>
                <w:rFonts w:ascii="Arial" w:hAnsi="Arial" w:cs="Arial"/>
              </w:rPr>
              <w:t xml:space="preserve"> million</w:t>
            </w:r>
          </w:p>
        </w:tc>
      </w:tr>
      <w:tr w:rsidR="005940EB" w:rsidRPr="00AF22E8" w14:paraId="4AD8D649" w14:textId="77777777" w:rsidTr="00E7473F">
        <w:trPr>
          <w:trHeight w:val="340"/>
        </w:trPr>
        <w:tc>
          <w:tcPr>
            <w:tcW w:w="846" w:type="dxa"/>
          </w:tcPr>
          <w:p w14:paraId="597BEC70" w14:textId="7C6FBE37"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2024</w:t>
            </w:r>
          </w:p>
        </w:tc>
        <w:tc>
          <w:tcPr>
            <w:tcW w:w="2126" w:type="dxa"/>
          </w:tcPr>
          <w:p w14:paraId="022A5A7C" w14:textId="183B14D9" w:rsidR="005940EB" w:rsidRPr="00AF22E8" w:rsidRDefault="00EC3034" w:rsidP="005940EB">
            <w:pPr>
              <w:spacing w:after="120" w:line="240" w:lineRule="auto"/>
              <w:rPr>
                <w:rFonts w:ascii="Arial" w:hAnsi="Arial" w:cs="Arial"/>
                <w:color w:val="000000" w:themeColor="text1"/>
                <w:sz w:val="22"/>
                <w:szCs w:val="22"/>
              </w:rPr>
            </w:pPr>
            <w:r>
              <w:rPr>
                <w:rFonts w:ascii="Arial" w:hAnsi="Arial" w:cs="Arial"/>
              </w:rPr>
              <w:t>2</w:t>
            </w:r>
            <w:r w:rsidR="005940EB" w:rsidRPr="00AF22E8">
              <w:rPr>
                <w:rFonts w:ascii="Arial" w:hAnsi="Arial" w:cs="Arial"/>
              </w:rPr>
              <w:t>.</w:t>
            </w:r>
            <w:r>
              <w:rPr>
                <w:rFonts w:ascii="Arial" w:hAnsi="Arial" w:cs="Arial"/>
              </w:rPr>
              <w:t>7</w:t>
            </w:r>
            <w:r w:rsidR="005940EB" w:rsidRPr="00AF22E8">
              <w:rPr>
                <w:rFonts w:ascii="Arial" w:hAnsi="Arial" w:cs="Arial"/>
              </w:rPr>
              <w:t xml:space="preserve"> million</w:t>
            </w:r>
          </w:p>
        </w:tc>
        <w:tc>
          <w:tcPr>
            <w:tcW w:w="2126" w:type="dxa"/>
          </w:tcPr>
          <w:p w14:paraId="2DDDF9B3" w14:textId="6B1DEEA0"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5</w:t>
            </w:r>
            <w:r w:rsidR="00195648">
              <w:rPr>
                <w:rFonts w:ascii="Arial" w:hAnsi="Arial" w:cs="Arial"/>
              </w:rPr>
              <w:t>5</w:t>
            </w:r>
            <w:r w:rsidRPr="00AF22E8">
              <w:rPr>
                <w:rFonts w:ascii="Arial" w:hAnsi="Arial" w:cs="Arial"/>
              </w:rPr>
              <w:t>.</w:t>
            </w:r>
            <w:r w:rsidR="00195648">
              <w:rPr>
                <w:rFonts w:ascii="Arial" w:hAnsi="Arial" w:cs="Arial"/>
              </w:rPr>
              <w:t>8</w:t>
            </w:r>
            <w:r w:rsidRPr="00AF22E8">
              <w:rPr>
                <w:rFonts w:ascii="Arial" w:hAnsi="Arial" w:cs="Arial"/>
              </w:rPr>
              <w:t xml:space="preserve"> million</w:t>
            </w:r>
          </w:p>
        </w:tc>
        <w:tc>
          <w:tcPr>
            <w:tcW w:w="2126" w:type="dxa"/>
          </w:tcPr>
          <w:p w14:paraId="37C119C7" w14:textId="403912E7"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2</w:t>
            </w:r>
            <w:r w:rsidR="008B2DEA">
              <w:rPr>
                <w:rFonts w:ascii="Arial" w:hAnsi="Arial" w:cs="Arial"/>
              </w:rPr>
              <w:t>8.7</w:t>
            </w:r>
            <w:r w:rsidRPr="00AF22E8">
              <w:rPr>
                <w:rFonts w:ascii="Arial" w:hAnsi="Arial" w:cs="Arial"/>
              </w:rPr>
              <w:t xml:space="preserve"> million</w:t>
            </w:r>
          </w:p>
        </w:tc>
        <w:tc>
          <w:tcPr>
            <w:tcW w:w="2127" w:type="dxa"/>
          </w:tcPr>
          <w:p w14:paraId="0606B84B" w14:textId="699952F1"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8</w:t>
            </w:r>
            <w:r w:rsidR="00230BD0">
              <w:rPr>
                <w:rFonts w:ascii="Arial" w:hAnsi="Arial" w:cs="Arial"/>
              </w:rPr>
              <w:t>7</w:t>
            </w:r>
            <w:r w:rsidRPr="00AF22E8">
              <w:rPr>
                <w:rFonts w:ascii="Arial" w:hAnsi="Arial" w:cs="Arial"/>
              </w:rPr>
              <w:t>.</w:t>
            </w:r>
            <w:r w:rsidR="00230BD0">
              <w:rPr>
                <w:rFonts w:ascii="Arial" w:hAnsi="Arial" w:cs="Arial"/>
              </w:rPr>
              <w:t>2</w:t>
            </w:r>
            <w:r w:rsidRPr="00AF22E8">
              <w:rPr>
                <w:rFonts w:ascii="Arial" w:hAnsi="Arial" w:cs="Arial"/>
              </w:rPr>
              <w:t xml:space="preserve"> million</w:t>
            </w:r>
          </w:p>
        </w:tc>
      </w:tr>
      <w:tr w:rsidR="005940EB" w:rsidRPr="00AF22E8" w14:paraId="4CBCD8B7" w14:textId="77777777" w:rsidTr="00E7473F">
        <w:trPr>
          <w:trHeight w:val="340"/>
        </w:trPr>
        <w:tc>
          <w:tcPr>
            <w:tcW w:w="846" w:type="dxa"/>
          </w:tcPr>
          <w:p w14:paraId="7BA17B78" w14:textId="293EE53F"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2025</w:t>
            </w:r>
          </w:p>
        </w:tc>
        <w:tc>
          <w:tcPr>
            <w:tcW w:w="2126" w:type="dxa"/>
          </w:tcPr>
          <w:p w14:paraId="7D0A9956" w14:textId="41449123"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3.</w:t>
            </w:r>
            <w:r w:rsidR="00EC3034">
              <w:rPr>
                <w:rFonts w:ascii="Arial" w:hAnsi="Arial" w:cs="Arial"/>
              </w:rPr>
              <w:t>0</w:t>
            </w:r>
            <w:r w:rsidRPr="00AF22E8">
              <w:rPr>
                <w:rFonts w:ascii="Arial" w:hAnsi="Arial" w:cs="Arial"/>
              </w:rPr>
              <w:t xml:space="preserve"> million</w:t>
            </w:r>
          </w:p>
        </w:tc>
        <w:tc>
          <w:tcPr>
            <w:tcW w:w="2126" w:type="dxa"/>
          </w:tcPr>
          <w:p w14:paraId="1AA96411" w14:textId="329E6A34" w:rsidR="005940EB" w:rsidRPr="00AF22E8" w:rsidRDefault="00195648" w:rsidP="005940EB">
            <w:pPr>
              <w:spacing w:after="120" w:line="240" w:lineRule="auto"/>
              <w:rPr>
                <w:rFonts w:ascii="Arial" w:hAnsi="Arial" w:cs="Arial"/>
                <w:color w:val="000000" w:themeColor="text1"/>
                <w:sz w:val="22"/>
                <w:szCs w:val="22"/>
              </w:rPr>
            </w:pPr>
            <w:r>
              <w:rPr>
                <w:rFonts w:ascii="Arial" w:hAnsi="Arial" w:cs="Arial"/>
              </w:rPr>
              <w:t>57</w:t>
            </w:r>
            <w:r w:rsidR="005940EB" w:rsidRPr="00AF22E8">
              <w:rPr>
                <w:rFonts w:ascii="Arial" w:hAnsi="Arial" w:cs="Arial"/>
              </w:rPr>
              <w:t>.7 million</w:t>
            </w:r>
          </w:p>
        </w:tc>
        <w:tc>
          <w:tcPr>
            <w:tcW w:w="2126" w:type="dxa"/>
          </w:tcPr>
          <w:p w14:paraId="6F70A256" w14:textId="2915298F" w:rsidR="005940EB" w:rsidRPr="00AF22E8" w:rsidRDefault="008B2DEA" w:rsidP="005940EB">
            <w:pPr>
              <w:spacing w:after="120" w:line="240" w:lineRule="auto"/>
              <w:rPr>
                <w:rFonts w:ascii="Arial" w:hAnsi="Arial" w:cs="Arial"/>
                <w:color w:val="000000" w:themeColor="text1"/>
                <w:sz w:val="22"/>
                <w:szCs w:val="22"/>
              </w:rPr>
            </w:pPr>
            <w:r>
              <w:rPr>
                <w:rFonts w:ascii="Arial" w:hAnsi="Arial" w:cs="Arial"/>
              </w:rPr>
              <w:t>29.2</w:t>
            </w:r>
            <w:r w:rsidR="005940EB" w:rsidRPr="00AF22E8">
              <w:rPr>
                <w:rFonts w:ascii="Arial" w:hAnsi="Arial" w:cs="Arial"/>
              </w:rPr>
              <w:t xml:space="preserve"> million</w:t>
            </w:r>
          </w:p>
        </w:tc>
        <w:tc>
          <w:tcPr>
            <w:tcW w:w="2127" w:type="dxa"/>
          </w:tcPr>
          <w:p w14:paraId="4F10A5FE" w14:textId="5C1F2646" w:rsidR="005940EB" w:rsidRPr="00AF22E8" w:rsidRDefault="00230BD0" w:rsidP="005940EB">
            <w:pPr>
              <w:spacing w:after="120" w:line="240" w:lineRule="auto"/>
              <w:rPr>
                <w:rFonts w:ascii="Arial" w:hAnsi="Arial" w:cs="Arial"/>
                <w:color w:val="000000" w:themeColor="text1"/>
                <w:sz w:val="22"/>
                <w:szCs w:val="22"/>
              </w:rPr>
            </w:pPr>
            <w:r>
              <w:rPr>
                <w:rFonts w:ascii="Arial" w:hAnsi="Arial" w:cs="Arial"/>
              </w:rPr>
              <w:t>89</w:t>
            </w:r>
            <w:r w:rsidR="005940EB" w:rsidRPr="00AF22E8">
              <w:rPr>
                <w:rFonts w:ascii="Arial" w:hAnsi="Arial" w:cs="Arial"/>
              </w:rPr>
              <w:t>.</w:t>
            </w:r>
            <w:r>
              <w:rPr>
                <w:rFonts w:ascii="Arial" w:hAnsi="Arial" w:cs="Arial"/>
              </w:rPr>
              <w:t>9</w:t>
            </w:r>
            <w:r w:rsidR="005940EB" w:rsidRPr="00AF22E8">
              <w:rPr>
                <w:rFonts w:ascii="Arial" w:hAnsi="Arial" w:cs="Arial"/>
              </w:rPr>
              <w:t xml:space="preserve"> million</w:t>
            </w:r>
          </w:p>
        </w:tc>
      </w:tr>
      <w:tr w:rsidR="005940EB" w:rsidRPr="00AF22E8" w14:paraId="2BC7D902" w14:textId="77777777" w:rsidTr="00E7473F">
        <w:trPr>
          <w:trHeight w:val="340"/>
        </w:trPr>
        <w:tc>
          <w:tcPr>
            <w:tcW w:w="846" w:type="dxa"/>
          </w:tcPr>
          <w:p w14:paraId="03D2BD59" w14:textId="3FBC0B2A"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2026</w:t>
            </w:r>
          </w:p>
        </w:tc>
        <w:tc>
          <w:tcPr>
            <w:tcW w:w="2126" w:type="dxa"/>
          </w:tcPr>
          <w:p w14:paraId="46B6C324" w14:textId="644976AC" w:rsidR="005940EB" w:rsidRPr="00AF22E8" w:rsidRDefault="00EC3034" w:rsidP="005940EB">
            <w:pPr>
              <w:spacing w:after="120" w:line="240" w:lineRule="auto"/>
              <w:rPr>
                <w:rFonts w:ascii="Arial" w:hAnsi="Arial" w:cs="Arial"/>
                <w:color w:val="000000" w:themeColor="text1"/>
                <w:sz w:val="22"/>
                <w:szCs w:val="22"/>
              </w:rPr>
            </w:pPr>
            <w:r>
              <w:rPr>
                <w:rFonts w:ascii="Arial" w:hAnsi="Arial" w:cs="Arial"/>
              </w:rPr>
              <w:t>3</w:t>
            </w:r>
            <w:r w:rsidR="005940EB" w:rsidRPr="00AF22E8">
              <w:rPr>
                <w:rFonts w:ascii="Arial" w:hAnsi="Arial" w:cs="Arial"/>
              </w:rPr>
              <w:t>.</w:t>
            </w:r>
            <w:r>
              <w:rPr>
                <w:rFonts w:ascii="Arial" w:hAnsi="Arial" w:cs="Arial"/>
              </w:rPr>
              <w:t>3</w:t>
            </w:r>
            <w:r w:rsidR="005940EB" w:rsidRPr="00AF22E8">
              <w:rPr>
                <w:rFonts w:ascii="Arial" w:hAnsi="Arial" w:cs="Arial"/>
              </w:rPr>
              <w:t xml:space="preserve"> million</w:t>
            </w:r>
          </w:p>
        </w:tc>
        <w:tc>
          <w:tcPr>
            <w:tcW w:w="2126" w:type="dxa"/>
          </w:tcPr>
          <w:p w14:paraId="6C6924AD" w14:textId="24513C39" w:rsidR="005940EB" w:rsidRPr="00AF22E8" w:rsidRDefault="00195648" w:rsidP="005940EB">
            <w:pPr>
              <w:spacing w:after="120" w:line="240" w:lineRule="auto"/>
              <w:rPr>
                <w:rFonts w:ascii="Arial" w:hAnsi="Arial" w:cs="Arial"/>
                <w:color w:val="000000" w:themeColor="text1"/>
                <w:sz w:val="22"/>
                <w:szCs w:val="22"/>
              </w:rPr>
            </w:pPr>
            <w:r>
              <w:rPr>
                <w:rFonts w:ascii="Arial" w:hAnsi="Arial" w:cs="Arial"/>
              </w:rPr>
              <w:t>60</w:t>
            </w:r>
            <w:r w:rsidR="005940EB" w:rsidRPr="00AF22E8">
              <w:rPr>
                <w:rFonts w:ascii="Arial" w:hAnsi="Arial" w:cs="Arial"/>
              </w:rPr>
              <w:t>.</w:t>
            </w:r>
            <w:r>
              <w:rPr>
                <w:rFonts w:ascii="Arial" w:hAnsi="Arial" w:cs="Arial"/>
              </w:rPr>
              <w:t>4</w:t>
            </w:r>
            <w:r w:rsidR="005940EB" w:rsidRPr="00AF22E8">
              <w:rPr>
                <w:rFonts w:ascii="Arial" w:hAnsi="Arial" w:cs="Arial"/>
              </w:rPr>
              <w:t xml:space="preserve"> million</w:t>
            </w:r>
          </w:p>
        </w:tc>
        <w:tc>
          <w:tcPr>
            <w:tcW w:w="2126" w:type="dxa"/>
          </w:tcPr>
          <w:p w14:paraId="18B0F092" w14:textId="021FB4AF"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30.</w:t>
            </w:r>
            <w:r w:rsidR="008B2DEA">
              <w:rPr>
                <w:rFonts w:ascii="Arial" w:hAnsi="Arial" w:cs="Arial"/>
              </w:rPr>
              <w:t>0</w:t>
            </w:r>
            <w:r w:rsidRPr="00AF22E8">
              <w:rPr>
                <w:rFonts w:ascii="Arial" w:hAnsi="Arial" w:cs="Arial"/>
              </w:rPr>
              <w:t xml:space="preserve"> million</w:t>
            </w:r>
          </w:p>
        </w:tc>
        <w:tc>
          <w:tcPr>
            <w:tcW w:w="2127" w:type="dxa"/>
          </w:tcPr>
          <w:p w14:paraId="5709BDEC" w14:textId="02225E47" w:rsidR="005940EB" w:rsidRPr="00AF22E8" w:rsidRDefault="00230BD0" w:rsidP="005940EB">
            <w:pPr>
              <w:spacing w:after="120" w:line="240" w:lineRule="auto"/>
              <w:rPr>
                <w:rFonts w:ascii="Arial" w:hAnsi="Arial" w:cs="Arial"/>
                <w:color w:val="000000" w:themeColor="text1"/>
                <w:sz w:val="22"/>
                <w:szCs w:val="22"/>
              </w:rPr>
            </w:pPr>
            <w:r>
              <w:rPr>
                <w:rFonts w:ascii="Arial" w:hAnsi="Arial" w:cs="Arial"/>
              </w:rPr>
              <w:t>93</w:t>
            </w:r>
            <w:r w:rsidR="005940EB" w:rsidRPr="00AF22E8">
              <w:rPr>
                <w:rFonts w:ascii="Arial" w:hAnsi="Arial" w:cs="Arial"/>
              </w:rPr>
              <w:t>.</w:t>
            </w:r>
            <w:r>
              <w:rPr>
                <w:rFonts w:ascii="Arial" w:hAnsi="Arial" w:cs="Arial"/>
              </w:rPr>
              <w:t>7</w:t>
            </w:r>
            <w:r w:rsidR="005940EB" w:rsidRPr="00AF22E8">
              <w:rPr>
                <w:rFonts w:ascii="Arial" w:hAnsi="Arial" w:cs="Arial"/>
              </w:rPr>
              <w:t xml:space="preserve"> million</w:t>
            </w:r>
          </w:p>
        </w:tc>
      </w:tr>
      <w:tr w:rsidR="005940EB" w:rsidRPr="00AF22E8" w14:paraId="19FE9701" w14:textId="77777777" w:rsidTr="00E7473F">
        <w:trPr>
          <w:trHeight w:val="340"/>
        </w:trPr>
        <w:tc>
          <w:tcPr>
            <w:tcW w:w="846" w:type="dxa"/>
          </w:tcPr>
          <w:p w14:paraId="2CDCE623" w14:textId="64B56FAA" w:rsidR="005940EB" w:rsidRPr="00AF22E8" w:rsidRDefault="005940EB" w:rsidP="005940EB">
            <w:pPr>
              <w:spacing w:after="120" w:line="240" w:lineRule="auto"/>
              <w:rPr>
                <w:rFonts w:ascii="Arial" w:hAnsi="Arial" w:cs="Arial"/>
                <w:b/>
                <w:bCs/>
                <w:color w:val="000000" w:themeColor="text1"/>
                <w:sz w:val="22"/>
                <w:szCs w:val="22"/>
              </w:rPr>
            </w:pPr>
            <w:r w:rsidRPr="00AF22E8">
              <w:rPr>
                <w:rFonts w:ascii="Arial" w:hAnsi="Arial" w:cs="Arial"/>
                <w:b/>
                <w:bCs/>
              </w:rPr>
              <w:t>2027</w:t>
            </w:r>
          </w:p>
        </w:tc>
        <w:tc>
          <w:tcPr>
            <w:tcW w:w="2126" w:type="dxa"/>
          </w:tcPr>
          <w:p w14:paraId="3175A056" w14:textId="3760E9C9" w:rsidR="005940EB" w:rsidRPr="00AF22E8" w:rsidRDefault="00EC3034" w:rsidP="005940EB">
            <w:pPr>
              <w:spacing w:after="120" w:line="240" w:lineRule="auto"/>
              <w:rPr>
                <w:rFonts w:ascii="Arial" w:hAnsi="Arial" w:cs="Arial"/>
                <w:color w:val="000000" w:themeColor="text1"/>
                <w:sz w:val="22"/>
                <w:szCs w:val="22"/>
              </w:rPr>
            </w:pPr>
            <w:r>
              <w:rPr>
                <w:rFonts w:ascii="Arial" w:hAnsi="Arial" w:cs="Arial"/>
              </w:rPr>
              <w:t>3</w:t>
            </w:r>
            <w:r w:rsidR="005940EB" w:rsidRPr="00AF22E8">
              <w:rPr>
                <w:rFonts w:ascii="Arial" w:hAnsi="Arial" w:cs="Arial"/>
              </w:rPr>
              <w:t>.</w:t>
            </w:r>
            <w:r>
              <w:rPr>
                <w:rFonts w:ascii="Arial" w:hAnsi="Arial" w:cs="Arial"/>
              </w:rPr>
              <w:t>6</w:t>
            </w:r>
            <w:r w:rsidR="005940EB" w:rsidRPr="00AF22E8">
              <w:rPr>
                <w:rFonts w:ascii="Arial" w:hAnsi="Arial" w:cs="Arial"/>
              </w:rPr>
              <w:t xml:space="preserve"> million</w:t>
            </w:r>
          </w:p>
        </w:tc>
        <w:tc>
          <w:tcPr>
            <w:tcW w:w="2126" w:type="dxa"/>
          </w:tcPr>
          <w:p w14:paraId="0894D1FF" w14:textId="32D77462" w:rsidR="005940EB" w:rsidRPr="00AF22E8" w:rsidRDefault="00195648" w:rsidP="005940EB">
            <w:pPr>
              <w:spacing w:after="120" w:line="240" w:lineRule="auto"/>
              <w:rPr>
                <w:rFonts w:ascii="Arial" w:hAnsi="Arial" w:cs="Arial"/>
                <w:color w:val="000000" w:themeColor="text1"/>
                <w:sz w:val="22"/>
                <w:szCs w:val="22"/>
              </w:rPr>
            </w:pPr>
            <w:r>
              <w:rPr>
                <w:rFonts w:ascii="Arial" w:hAnsi="Arial" w:cs="Arial"/>
              </w:rPr>
              <w:t>6</w:t>
            </w:r>
            <w:r w:rsidR="005940EB" w:rsidRPr="00AF22E8">
              <w:rPr>
                <w:rFonts w:ascii="Arial" w:hAnsi="Arial" w:cs="Arial"/>
              </w:rPr>
              <w:t>3.</w:t>
            </w:r>
            <w:r>
              <w:rPr>
                <w:rFonts w:ascii="Arial" w:hAnsi="Arial" w:cs="Arial"/>
              </w:rPr>
              <w:t>7</w:t>
            </w:r>
            <w:r w:rsidR="005940EB" w:rsidRPr="00AF22E8">
              <w:rPr>
                <w:rFonts w:ascii="Arial" w:hAnsi="Arial" w:cs="Arial"/>
              </w:rPr>
              <w:t xml:space="preserve"> million</w:t>
            </w:r>
          </w:p>
        </w:tc>
        <w:tc>
          <w:tcPr>
            <w:tcW w:w="2126" w:type="dxa"/>
          </w:tcPr>
          <w:p w14:paraId="5048D371" w14:textId="1DB076D5"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31.</w:t>
            </w:r>
            <w:r w:rsidR="008B2DEA">
              <w:rPr>
                <w:rFonts w:ascii="Arial" w:hAnsi="Arial" w:cs="Arial"/>
              </w:rPr>
              <w:t>0</w:t>
            </w:r>
            <w:r w:rsidRPr="00AF22E8">
              <w:rPr>
                <w:rFonts w:ascii="Arial" w:hAnsi="Arial" w:cs="Arial"/>
              </w:rPr>
              <w:t xml:space="preserve"> million</w:t>
            </w:r>
          </w:p>
        </w:tc>
        <w:tc>
          <w:tcPr>
            <w:tcW w:w="2127" w:type="dxa"/>
          </w:tcPr>
          <w:p w14:paraId="14E46B8C" w14:textId="577FE7E9"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9</w:t>
            </w:r>
            <w:r w:rsidR="00230BD0">
              <w:rPr>
                <w:rFonts w:ascii="Arial" w:hAnsi="Arial" w:cs="Arial"/>
              </w:rPr>
              <w:t>8</w:t>
            </w:r>
            <w:r w:rsidRPr="00AF22E8">
              <w:rPr>
                <w:rFonts w:ascii="Arial" w:hAnsi="Arial" w:cs="Arial"/>
              </w:rPr>
              <w:t>.3 million</w:t>
            </w:r>
          </w:p>
        </w:tc>
      </w:tr>
      <w:tr w:rsidR="005940EB" w:rsidRPr="00AF22E8" w14:paraId="03A78993" w14:textId="77777777" w:rsidTr="00E7473F">
        <w:trPr>
          <w:trHeight w:val="340"/>
        </w:trPr>
        <w:tc>
          <w:tcPr>
            <w:tcW w:w="846" w:type="dxa"/>
          </w:tcPr>
          <w:p w14:paraId="56F3BD3B" w14:textId="6C5EF824" w:rsidR="005940EB" w:rsidRPr="00AF22E8" w:rsidRDefault="005940EB" w:rsidP="005940EB">
            <w:pPr>
              <w:spacing w:after="120" w:line="240" w:lineRule="auto"/>
              <w:rPr>
                <w:rFonts w:ascii="Arial" w:hAnsi="Arial" w:cs="Arial"/>
                <w:b/>
                <w:bCs/>
                <w:color w:val="000000" w:themeColor="text1"/>
                <w:sz w:val="22"/>
                <w:szCs w:val="22"/>
              </w:rPr>
            </w:pPr>
            <w:r>
              <w:rPr>
                <w:rFonts w:ascii="Arial" w:hAnsi="Arial" w:cs="Arial"/>
                <w:b/>
                <w:bCs/>
                <w:color w:val="000000" w:themeColor="text1"/>
                <w:sz w:val="22"/>
                <w:szCs w:val="22"/>
              </w:rPr>
              <w:t>2028</w:t>
            </w:r>
          </w:p>
        </w:tc>
        <w:tc>
          <w:tcPr>
            <w:tcW w:w="2126" w:type="dxa"/>
          </w:tcPr>
          <w:p w14:paraId="5FAF5F4B" w14:textId="308BF9BF" w:rsidR="005940EB" w:rsidRPr="00AF22E8" w:rsidRDefault="00EC3034" w:rsidP="005940EB">
            <w:pPr>
              <w:spacing w:after="120" w:line="240" w:lineRule="auto"/>
              <w:rPr>
                <w:rFonts w:ascii="Arial" w:hAnsi="Arial" w:cs="Arial"/>
                <w:color w:val="000000" w:themeColor="text1"/>
                <w:sz w:val="22"/>
                <w:szCs w:val="22"/>
              </w:rPr>
            </w:pPr>
            <w:r>
              <w:rPr>
                <w:rFonts w:ascii="Arial" w:hAnsi="Arial" w:cs="Arial"/>
              </w:rPr>
              <w:t>3</w:t>
            </w:r>
            <w:r w:rsidR="005940EB" w:rsidRPr="00AF22E8">
              <w:rPr>
                <w:rFonts w:ascii="Arial" w:hAnsi="Arial" w:cs="Arial"/>
              </w:rPr>
              <w:t>.</w:t>
            </w:r>
            <w:r>
              <w:rPr>
                <w:rFonts w:ascii="Arial" w:hAnsi="Arial" w:cs="Arial"/>
              </w:rPr>
              <w:t>8</w:t>
            </w:r>
            <w:r w:rsidR="005940EB" w:rsidRPr="00AF22E8">
              <w:rPr>
                <w:rFonts w:ascii="Arial" w:hAnsi="Arial" w:cs="Arial"/>
              </w:rPr>
              <w:t xml:space="preserve"> million</w:t>
            </w:r>
          </w:p>
        </w:tc>
        <w:tc>
          <w:tcPr>
            <w:tcW w:w="2126" w:type="dxa"/>
          </w:tcPr>
          <w:p w14:paraId="65E7986F" w14:textId="35A6F7AF" w:rsidR="005940EB" w:rsidRPr="00AF22E8" w:rsidRDefault="00195648" w:rsidP="005940EB">
            <w:pPr>
              <w:spacing w:after="120" w:line="240" w:lineRule="auto"/>
              <w:rPr>
                <w:rFonts w:ascii="Arial" w:hAnsi="Arial" w:cs="Arial"/>
                <w:color w:val="000000" w:themeColor="text1"/>
                <w:sz w:val="22"/>
                <w:szCs w:val="22"/>
              </w:rPr>
            </w:pPr>
            <w:r>
              <w:rPr>
                <w:rFonts w:ascii="Arial" w:hAnsi="Arial" w:cs="Arial"/>
              </w:rPr>
              <w:t>66</w:t>
            </w:r>
            <w:r w:rsidR="005940EB" w:rsidRPr="00AF22E8">
              <w:rPr>
                <w:rFonts w:ascii="Arial" w:hAnsi="Arial" w:cs="Arial"/>
              </w:rPr>
              <w:t>.</w:t>
            </w:r>
            <w:r>
              <w:rPr>
                <w:rFonts w:ascii="Arial" w:hAnsi="Arial" w:cs="Arial"/>
              </w:rPr>
              <w:t>4</w:t>
            </w:r>
            <w:r w:rsidR="005940EB" w:rsidRPr="00AF22E8">
              <w:rPr>
                <w:rFonts w:ascii="Arial" w:hAnsi="Arial" w:cs="Arial"/>
              </w:rPr>
              <w:t xml:space="preserve"> million</w:t>
            </w:r>
          </w:p>
        </w:tc>
        <w:tc>
          <w:tcPr>
            <w:tcW w:w="2126" w:type="dxa"/>
          </w:tcPr>
          <w:p w14:paraId="00CFD283" w14:textId="1166BE39"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3</w:t>
            </w:r>
            <w:r w:rsidR="008B2DEA">
              <w:rPr>
                <w:rFonts w:ascii="Arial" w:hAnsi="Arial" w:cs="Arial"/>
              </w:rPr>
              <w:t>1</w:t>
            </w:r>
            <w:r w:rsidRPr="00AF22E8">
              <w:rPr>
                <w:rFonts w:ascii="Arial" w:hAnsi="Arial" w:cs="Arial"/>
              </w:rPr>
              <w:t>.</w:t>
            </w:r>
            <w:r w:rsidR="008B2DEA">
              <w:rPr>
                <w:rFonts w:ascii="Arial" w:hAnsi="Arial" w:cs="Arial"/>
              </w:rPr>
              <w:t>8</w:t>
            </w:r>
            <w:r w:rsidRPr="00AF22E8">
              <w:rPr>
                <w:rFonts w:ascii="Arial" w:hAnsi="Arial" w:cs="Arial"/>
              </w:rPr>
              <w:t xml:space="preserve"> million</w:t>
            </w:r>
          </w:p>
        </w:tc>
        <w:tc>
          <w:tcPr>
            <w:tcW w:w="2127" w:type="dxa"/>
          </w:tcPr>
          <w:p w14:paraId="3FCBAC8E" w14:textId="11E010CE" w:rsidR="005940EB" w:rsidRPr="00AF22E8" w:rsidRDefault="005940EB" w:rsidP="005940EB">
            <w:pPr>
              <w:spacing w:after="120" w:line="240" w:lineRule="auto"/>
              <w:rPr>
                <w:rFonts w:ascii="Arial" w:hAnsi="Arial" w:cs="Arial"/>
                <w:color w:val="000000" w:themeColor="text1"/>
                <w:sz w:val="22"/>
                <w:szCs w:val="22"/>
              </w:rPr>
            </w:pPr>
            <w:r w:rsidRPr="00AF22E8">
              <w:rPr>
                <w:rFonts w:ascii="Arial" w:hAnsi="Arial" w:cs="Arial"/>
              </w:rPr>
              <w:t>1</w:t>
            </w:r>
            <w:r w:rsidR="00D307D5">
              <w:rPr>
                <w:rFonts w:ascii="Arial" w:hAnsi="Arial" w:cs="Arial"/>
              </w:rPr>
              <w:t>01</w:t>
            </w:r>
            <w:r w:rsidRPr="00AF22E8">
              <w:rPr>
                <w:rFonts w:ascii="Arial" w:hAnsi="Arial" w:cs="Arial"/>
              </w:rPr>
              <w:t>.</w:t>
            </w:r>
            <w:r w:rsidR="00D307D5">
              <w:rPr>
                <w:rFonts w:ascii="Arial" w:hAnsi="Arial" w:cs="Arial"/>
              </w:rPr>
              <w:t>9</w:t>
            </w:r>
            <w:r w:rsidRPr="00AF22E8">
              <w:rPr>
                <w:rFonts w:ascii="Arial" w:hAnsi="Arial" w:cs="Arial"/>
              </w:rPr>
              <w:t xml:space="preserve"> million</w:t>
            </w:r>
          </w:p>
        </w:tc>
      </w:tr>
      <w:tr w:rsidR="00EC3034" w:rsidRPr="00AF22E8" w14:paraId="395E0BA5" w14:textId="77777777" w:rsidTr="00E7473F">
        <w:trPr>
          <w:trHeight w:val="340"/>
        </w:trPr>
        <w:tc>
          <w:tcPr>
            <w:tcW w:w="846" w:type="dxa"/>
          </w:tcPr>
          <w:p w14:paraId="4D557E01" w14:textId="03C676A1" w:rsidR="00EC3034" w:rsidRPr="00AF22E8" w:rsidRDefault="00EC3034" w:rsidP="00EC3034">
            <w:pPr>
              <w:spacing w:after="120" w:line="240" w:lineRule="auto"/>
              <w:rPr>
                <w:rFonts w:ascii="Arial" w:hAnsi="Arial" w:cs="Arial"/>
                <w:b/>
                <w:bCs/>
                <w:color w:val="000000" w:themeColor="text1"/>
                <w:sz w:val="22"/>
                <w:szCs w:val="22"/>
              </w:rPr>
            </w:pPr>
            <w:r>
              <w:rPr>
                <w:rFonts w:ascii="Arial" w:hAnsi="Arial" w:cs="Arial"/>
                <w:b/>
                <w:bCs/>
              </w:rPr>
              <w:t>2029</w:t>
            </w:r>
          </w:p>
        </w:tc>
        <w:tc>
          <w:tcPr>
            <w:tcW w:w="2126" w:type="dxa"/>
          </w:tcPr>
          <w:p w14:paraId="63CFCFA4" w14:textId="77FB40F6" w:rsidR="00EC3034" w:rsidRPr="00AF22E8" w:rsidRDefault="00EC3034" w:rsidP="00EC3034">
            <w:pPr>
              <w:spacing w:after="120" w:line="240" w:lineRule="auto"/>
              <w:rPr>
                <w:rFonts w:ascii="Arial" w:hAnsi="Arial" w:cs="Arial"/>
                <w:color w:val="000000" w:themeColor="text1"/>
                <w:sz w:val="22"/>
                <w:szCs w:val="22"/>
              </w:rPr>
            </w:pPr>
            <w:r>
              <w:rPr>
                <w:rFonts w:ascii="Arial" w:hAnsi="Arial" w:cs="Arial"/>
              </w:rPr>
              <w:t>3</w:t>
            </w:r>
            <w:r w:rsidRPr="00AF22E8">
              <w:rPr>
                <w:rFonts w:ascii="Arial" w:hAnsi="Arial" w:cs="Arial"/>
              </w:rPr>
              <w:t>.</w:t>
            </w:r>
            <w:r>
              <w:rPr>
                <w:rFonts w:ascii="Arial" w:hAnsi="Arial" w:cs="Arial"/>
              </w:rPr>
              <w:t>9</w:t>
            </w:r>
            <w:r w:rsidRPr="00AF22E8">
              <w:rPr>
                <w:rFonts w:ascii="Arial" w:hAnsi="Arial" w:cs="Arial"/>
              </w:rPr>
              <w:t xml:space="preserve"> million</w:t>
            </w:r>
          </w:p>
        </w:tc>
        <w:tc>
          <w:tcPr>
            <w:tcW w:w="2126" w:type="dxa"/>
          </w:tcPr>
          <w:p w14:paraId="365DBA45" w14:textId="67F1C176" w:rsidR="00EC3034" w:rsidRPr="00AF22E8" w:rsidRDefault="00195648" w:rsidP="00EC3034">
            <w:pPr>
              <w:spacing w:after="120" w:line="240" w:lineRule="auto"/>
              <w:rPr>
                <w:rFonts w:ascii="Arial" w:hAnsi="Arial" w:cs="Arial"/>
                <w:color w:val="000000" w:themeColor="text1"/>
                <w:sz w:val="22"/>
                <w:szCs w:val="22"/>
              </w:rPr>
            </w:pPr>
            <w:r>
              <w:rPr>
                <w:rFonts w:ascii="Arial" w:hAnsi="Arial" w:cs="Arial"/>
              </w:rPr>
              <w:t>68</w:t>
            </w:r>
            <w:r w:rsidR="00EC3034" w:rsidRPr="00AF22E8">
              <w:rPr>
                <w:rFonts w:ascii="Arial" w:hAnsi="Arial" w:cs="Arial"/>
              </w:rPr>
              <w:t>.</w:t>
            </w:r>
            <w:r>
              <w:rPr>
                <w:rFonts w:ascii="Arial" w:hAnsi="Arial" w:cs="Arial"/>
              </w:rPr>
              <w:t>7</w:t>
            </w:r>
            <w:r w:rsidR="00EC3034" w:rsidRPr="00AF22E8">
              <w:rPr>
                <w:rFonts w:ascii="Arial" w:hAnsi="Arial" w:cs="Arial"/>
              </w:rPr>
              <w:t xml:space="preserve"> million</w:t>
            </w:r>
          </w:p>
        </w:tc>
        <w:tc>
          <w:tcPr>
            <w:tcW w:w="2126" w:type="dxa"/>
          </w:tcPr>
          <w:p w14:paraId="44BFADED" w14:textId="5EA8B3FA" w:rsidR="00EC3034" w:rsidRPr="00AF22E8" w:rsidRDefault="00EC3034" w:rsidP="00EC3034">
            <w:pPr>
              <w:spacing w:after="120" w:line="240" w:lineRule="auto"/>
              <w:rPr>
                <w:rFonts w:ascii="Arial" w:hAnsi="Arial" w:cs="Arial"/>
                <w:color w:val="000000" w:themeColor="text1"/>
                <w:sz w:val="22"/>
                <w:szCs w:val="22"/>
              </w:rPr>
            </w:pPr>
            <w:r w:rsidRPr="00AF22E8">
              <w:rPr>
                <w:rFonts w:ascii="Arial" w:hAnsi="Arial" w:cs="Arial"/>
              </w:rPr>
              <w:t>32.</w:t>
            </w:r>
            <w:r w:rsidR="008B2DEA">
              <w:rPr>
                <w:rFonts w:ascii="Arial" w:hAnsi="Arial" w:cs="Arial"/>
              </w:rPr>
              <w:t>5</w:t>
            </w:r>
            <w:r w:rsidRPr="00AF22E8">
              <w:rPr>
                <w:rFonts w:ascii="Arial" w:hAnsi="Arial" w:cs="Arial"/>
              </w:rPr>
              <w:t xml:space="preserve"> million</w:t>
            </w:r>
          </w:p>
        </w:tc>
        <w:tc>
          <w:tcPr>
            <w:tcW w:w="2127" w:type="dxa"/>
          </w:tcPr>
          <w:p w14:paraId="0880342B" w14:textId="097BB2AD" w:rsidR="00EC3034" w:rsidRPr="00AF22E8" w:rsidRDefault="00EC3034" w:rsidP="00EC3034">
            <w:pPr>
              <w:spacing w:after="120" w:line="240" w:lineRule="auto"/>
              <w:rPr>
                <w:rFonts w:ascii="Arial" w:hAnsi="Arial" w:cs="Arial"/>
                <w:color w:val="000000" w:themeColor="text1"/>
                <w:sz w:val="22"/>
                <w:szCs w:val="22"/>
              </w:rPr>
            </w:pPr>
            <w:r w:rsidRPr="00AF22E8">
              <w:rPr>
                <w:rFonts w:ascii="Arial" w:hAnsi="Arial" w:cs="Arial"/>
              </w:rPr>
              <w:t>1</w:t>
            </w:r>
            <w:r w:rsidR="00D307D5">
              <w:rPr>
                <w:rFonts w:ascii="Arial" w:hAnsi="Arial" w:cs="Arial"/>
              </w:rPr>
              <w:t>05</w:t>
            </w:r>
            <w:r w:rsidRPr="00AF22E8">
              <w:rPr>
                <w:rFonts w:ascii="Arial" w:hAnsi="Arial" w:cs="Arial"/>
              </w:rPr>
              <w:t>.</w:t>
            </w:r>
            <w:r w:rsidR="00D307D5">
              <w:rPr>
                <w:rFonts w:ascii="Arial" w:hAnsi="Arial" w:cs="Arial"/>
              </w:rPr>
              <w:t>2</w:t>
            </w:r>
            <w:r w:rsidRPr="00AF22E8">
              <w:rPr>
                <w:rFonts w:ascii="Arial" w:hAnsi="Arial" w:cs="Arial"/>
              </w:rPr>
              <w:t xml:space="preserve"> million</w:t>
            </w:r>
          </w:p>
        </w:tc>
      </w:tr>
    </w:tbl>
    <w:p w14:paraId="50BE6C46" w14:textId="77777777" w:rsidR="00DE2757" w:rsidRPr="00AF22E8" w:rsidRDefault="00DE2757" w:rsidP="00DE2757">
      <w:pPr>
        <w:rPr>
          <w:rFonts w:ascii="Arial" w:hAnsi="Arial" w:cs="Arial"/>
        </w:rPr>
      </w:pPr>
    </w:p>
    <w:p w14:paraId="2E531279" w14:textId="09AA1FD8" w:rsidR="007615D9" w:rsidRDefault="005940EB" w:rsidP="00DC6BDF">
      <w:pPr>
        <w:pStyle w:val="Heading1"/>
        <w:rPr>
          <w:rFonts w:ascii="Arial" w:hAnsi="Arial" w:cs="Arial"/>
        </w:rPr>
      </w:pPr>
      <w:bookmarkStart w:id="34" w:name="_Toc184116521"/>
      <w:r>
        <w:rPr>
          <w:rFonts w:ascii="Arial" w:hAnsi="Arial" w:cs="Arial"/>
        </w:rPr>
        <w:t xml:space="preserve">5.0 </w:t>
      </w:r>
      <w:r w:rsidR="007615D9" w:rsidRPr="00AF22E8">
        <w:rPr>
          <w:rFonts w:ascii="Arial" w:hAnsi="Arial" w:cs="Arial"/>
        </w:rPr>
        <w:t>Visitor outlook</w:t>
      </w:r>
      <w:bookmarkEnd w:id="34"/>
    </w:p>
    <w:p w14:paraId="65AC4089" w14:textId="77777777" w:rsidR="0055347A" w:rsidRPr="0055347A" w:rsidRDefault="0055347A" w:rsidP="0055347A">
      <w:pPr>
        <w:rPr>
          <w:sz w:val="4"/>
          <w:szCs w:val="4"/>
        </w:rPr>
      </w:pPr>
    </w:p>
    <w:p w14:paraId="26D3D133" w14:textId="2A7565B0" w:rsidR="007615D9" w:rsidRPr="00AF22E8" w:rsidRDefault="0081657D" w:rsidP="007615D9">
      <w:pPr>
        <w:pStyle w:val="ListParagraph"/>
        <w:numPr>
          <w:ilvl w:val="0"/>
          <w:numId w:val="3"/>
        </w:numPr>
        <w:rPr>
          <w:rFonts w:ascii="Arial" w:hAnsi="Arial" w:cs="Arial"/>
          <w:color w:val="000000" w:themeColor="text1"/>
          <w:sz w:val="22"/>
          <w:szCs w:val="22"/>
        </w:rPr>
      </w:pPr>
      <w:r w:rsidRPr="0081657D">
        <w:rPr>
          <w:rFonts w:ascii="Arial" w:hAnsi="Arial" w:cs="Arial"/>
          <w:color w:val="000000" w:themeColor="text1"/>
          <w:sz w:val="22"/>
          <w:szCs w:val="22"/>
        </w:rPr>
        <w:t>Greater global risks and forecast downgrades now have international overnight visitors to Victoria returning to 2019 levels during 2026</w:t>
      </w:r>
      <w:r w:rsidR="007615D9" w:rsidRPr="00AF22E8">
        <w:rPr>
          <w:rFonts w:ascii="Arial" w:hAnsi="Arial" w:cs="Arial"/>
          <w:color w:val="000000" w:themeColor="text1"/>
          <w:sz w:val="22"/>
          <w:szCs w:val="22"/>
        </w:rPr>
        <w:t>.</w:t>
      </w:r>
    </w:p>
    <w:p w14:paraId="270D4634" w14:textId="45AE1016" w:rsidR="007615D9" w:rsidRPr="00AF22E8" w:rsidRDefault="00A93CD0" w:rsidP="007615D9">
      <w:pPr>
        <w:pStyle w:val="ListParagraph"/>
        <w:numPr>
          <w:ilvl w:val="0"/>
          <w:numId w:val="3"/>
        </w:numPr>
        <w:rPr>
          <w:rFonts w:ascii="Arial" w:hAnsi="Arial" w:cs="Arial"/>
          <w:color w:val="000000" w:themeColor="text1"/>
          <w:sz w:val="22"/>
          <w:szCs w:val="22"/>
        </w:rPr>
      </w:pPr>
      <w:r w:rsidRPr="00A93CD0">
        <w:rPr>
          <w:rFonts w:ascii="Arial" w:hAnsi="Arial" w:cs="Arial"/>
          <w:color w:val="000000" w:themeColor="text1"/>
          <w:sz w:val="22"/>
          <w:szCs w:val="22"/>
        </w:rPr>
        <w:t>International overnight visitors to Victoria are expected to grow at a rate of 7.6% per year over the next 5 years, reflecting its progressive but slower recovery compared to the last forecast</w:t>
      </w:r>
      <w:r w:rsidR="007615D9" w:rsidRPr="00AF22E8">
        <w:rPr>
          <w:rFonts w:ascii="Arial" w:hAnsi="Arial" w:cs="Arial"/>
          <w:color w:val="000000" w:themeColor="text1"/>
          <w:sz w:val="22"/>
          <w:szCs w:val="22"/>
        </w:rPr>
        <w:t>.</w:t>
      </w:r>
    </w:p>
    <w:p w14:paraId="03DB63D5" w14:textId="15A09376" w:rsidR="00633AA7" w:rsidRPr="00AF22E8" w:rsidRDefault="000F6E30" w:rsidP="00C14122">
      <w:pPr>
        <w:pStyle w:val="ListParagraph"/>
        <w:numPr>
          <w:ilvl w:val="0"/>
          <w:numId w:val="3"/>
        </w:numPr>
        <w:rPr>
          <w:rFonts w:ascii="Arial" w:hAnsi="Arial" w:cs="Arial"/>
          <w:color w:val="000000" w:themeColor="text1"/>
          <w:sz w:val="22"/>
          <w:szCs w:val="22"/>
        </w:rPr>
      </w:pPr>
      <w:r w:rsidRPr="000F6E30">
        <w:rPr>
          <w:rFonts w:ascii="Arial" w:hAnsi="Arial" w:cs="Arial"/>
          <w:color w:val="000000" w:themeColor="text1"/>
          <w:sz w:val="22"/>
          <w:szCs w:val="22"/>
        </w:rPr>
        <w:t>Domestic overnight travel demand is expected to be weaker than previously projected and is estimated to be back above 2019 levels for Victoria in 2026, with moderate growth of 2.5% per annum from 2024 to 2029</w:t>
      </w:r>
      <w:r w:rsidR="007615D9" w:rsidRPr="00AF22E8">
        <w:rPr>
          <w:rFonts w:ascii="Arial" w:hAnsi="Arial" w:cs="Arial"/>
          <w:color w:val="000000" w:themeColor="text1"/>
          <w:sz w:val="22"/>
          <w:szCs w:val="22"/>
        </w:rPr>
        <w:t>.</w:t>
      </w:r>
    </w:p>
    <w:p w14:paraId="54F7586C" w14:textId="5FB4B397" w:rsidR="00F57C38" w:rsidRPr="0055347A" w:rsidRDefault="005940EB" w:rsidP="0085353B">
      <w:pPr>
        <w:pStyle w:val="Heading2"/>
        <w:spacing w:before="80" w:line="240" w:lineRule="auto"/>
        <w:rPr>
          <w:rFonts w:ascii="Arial" w:hAnsi="Arial" w:cs="Arial"/>
          <w:color w:val="002060"/>
        </w:rPr>
      </w:pPr>
      <w:bookmarkStart w:id="35" w:name="_Toc184116522"/>
      <w:r w:rsidRPr="0055347A">
        <w:rPr>
          <w:rFonts w:ascii="Arial" w:hAnsi="Arial" w:cs="Arial"/>
          <w:color w:val="002060"/>
        </w:rPr>
        <w:lastRenderedPageBreak/>
        <w:t xml:space="preserve">5.1 </w:t>
      </w:r>
      <w:r w:rsidR="00F57C38" w:rsidRPr="0055347A">
        <w:rPr>
          <w:rFonts w:ascii="Arial" w:hAnsi="Arial" w:cs="Arial"/>
          <w:color w:val="002060"/>
        </w:rPr>
        <w:t>Data table: Forecast growth rates for visitors to Victoria by visitor type</w:t>
      </w:r>
      <w:bookmarkEnd w:id="35"/>
    </w:p>
    <w:p w14:paraId="17425508" w14:textId="4575D320" w:rsidR="004661FE" w:rsidRPr="00DF154D" w:rsidRDefault="004661FE" w:rsidP="0085353B">
      <w:pPr>
        <w:spacing w:before="120" w:after="120" w:line="240" w:lineRule="auto"/>
        <w:rPr>
          <w:rFonts w:ascii="Arial" w:hAnsi="Arial" w:cs="Arial"/>
          <w:sz w:val="22"/>
          <w:szCs w:val="22"/>
        </w:rPr>
      </w:pPr>
      <w:r w:rsidRPr="00DF154D">
        <w:rPr>
          <w:rFonts w:ascii="Arial" w:hAnsi="Arial" w:cs="Arial"/>
          <w:sz w:val="22"/>
          <w:szCs w:val="22"/>
        </w:rPr>
        <w:t xml:space="preserve">For each visitor type, the table below provides the estimated growth rate for visitor numbers </w:t>
      </w:r>
      <w:r w:rsidR="00594CE7" w:rsidRPr="00DF154D">
        <w:rPr>
          <w:rFonts w:ascii="Arial" w:hAnsi="Arial" w:cs="Arial"/>
          <w:sz w:val="22"/>
          <w:szCs w:val="22"/>
        </w:rPr>
        <w:t xml:space="preserve">from </w:t>
      </w:r>
      <w:r w:rsidR="00AF22E8" w:rsidRPr="00DF154D">
        <w:rPr>
          <w:rFonts w:ascii="Arial" w:hAnsi="Arial" w:cs="Arial"/>
          <w:sz w:val="22"/>
          <w:szCs w:val="22"/>
        </w:rPr>
        <w:t>2024</w:t>
      </w:r>
      <w:r w:rsidR="00594CE7" w:rsidRPr="00DF154D">
        <w:rPr>
          <w:rFonts w:ascii="Arial" w:hAnsi="Arial" w:cs="Arial"/>
          <w:sz w:val="22"/>
          <w:szCs w:val="22"/>
        </w:rPr>
        <w:t xml:space="preserve"> </w:t>
      </w:r>
      <w:r w:rsidRPr="00DF154D">
        <w:rPr>
          <w:rFonts w:ascii="Arial" w:hAnsi="Arial" w:cs="Arial"/>
          <w:sz w:val="22"/>
          <w:szCs w:val="22"/>
        </w:rPr>
        <w:t>to 202</w:t>
      </w:r>
      <w:r w:rsidR="00D94C15" w:rsidRPr="00DF154D">
        <w:rPr>
          <w:rFonts w:ascii="Arial" w:hAnsi="Arial" w:cs="Arial"/>
          <w:sz w:val="22"/>
          <w:szCs w:val="22"/>
        </w:rPr>
        <w:t>5</w:t>
      </w:r>
      <w:r w:rsidRPr="00DF154D">
        <w:rPr>
          <w:rFonts w:ascii="Arial" w:hAnsi="Arial" w:cs="Arial"/>
          <w:sz w:val="22"/>
          <w:szCs w:val="22"/>
        </w:rPr>
        <w:t xml:space="preserve"> and the forecast average annual growth rate </w:t>
      </w:r>
      <w:r w:rsidR="00632623" w:rsidRPr="00DF154D">
        <w:rPr>
          <w:rFonts w:ascii="Arial" w:hAnsi="Arial" w:cs="Arial"/>
          <w:sz w:val="22"/>
          <w:szCs w:val="22"/>
        </w:rPr>
        <w:t xml:space="preserve">of visitor numbers </w:t>
      </w:r>
      <w:r w:rsidRPr="00DF154D">
        <w:rPr>
          <w:rFonts w:ascii="Arial" w:hAnsi="Arial" w:cs="Arial"/>
          <w:sz w:val="22"/>
          <w:szCs w:val="22"/>
        </w:rPr>
        <w:t xml:space="preserve">from </w:t>
      </w:r>
      <w:r w:rsidR="00AF22E8" w:rsidRPr="00DF154D">
        <w:rPr>
          <w:rFonts w:ascii="Arial" w:hAnsi="Arial" w:cs="Arial"/>
          <w:sz w:val="22"/>
          <w:szCs w:val="22"/>
        </w:rPr>
        <w:t>2024</w:t>
      </w:r>
      <w:r w:rsidRPr="00DF154D">
        <w:rPr>
          <w:rFonts w:ascii="Arial" w:hAnsi="Arial" w:cs="Arial"/>
          <w:sz w:val="22"/>
          <w:szCs w:val="22"/>
        </w:rPr>
        <w:t xml:space="preserve"> to </w:t>
      </w:r>
      <w:r w:rsidR="00AF22E8" w:rsidRPr="00DF154D">
        <w:rPr>
          <w:rFonts w:ascii="Arial" w:hAnsi="Arial" w:cs="Arial"/>
          <w:sz w:val="22"/>
          <w:szCs w:val="22"/>
        </w:rPr>
        <w:t>2029</w:t>
      </w:r>
      <w:r w:rsidRPr="00DF154D">
        <w:rPr>
          <w:rFonts w:ascii="Arial" w:hAnsi="Arial" w:cs="Arial"/>
          <w:sz w:val="22"/>
          <w:szCs w:val="22"/>
        </w:rPr>
        <w:t>.</w:t>
      </w:r>
    </w:p>
    <w:tbl>
      <w:tblPr>
        <w:tblStyle w:val="TableGrid"/>
        <w:tblW w:w="9067" w:type="dxa"/>
        <w:tblLook w:val="04A0" w:firstRow="1" w:lastRow="0" w:firstColumn="1" w:lastColumn="0" w:noHBand="0" w:noVBand="1"/>
      </w:tblPr>
      <w:tblGrid>
        <w:gridCol w:w="3539"/>
        <w:gridCol w:w="2268"/>
        <w:gridCol w:w="3260"/>
      </w:tblGrid>
      <w:tr w:rsidR="00F57C38" w:rsidRPr="00AF22E8" w14:paraId="66A0B973" w14:textId="77777777" w:rsidTr="00F91B2C">
        <w:trPr>
          <w:trHeight w:val="576"/>
          <w:tblHeader/>
        </w:trPr>
        <w:tc>
          <w:tcPr>
            <w:tcW w:w="3539" w:type="dxa"/>
            <w:shd w:val="clear" w:color="auto" w:fill="D9D9D9" w:themeFill="background1" w:themeFillShade="D9"/>
          </w:tcPr>
          <w:p w14:paraId="300818E7" w14:textId="024B8B10" w:rsidR="00F57C38" w:rsidRPr="00AF22E8" w:rsidRDefault="00827CE7" w:rsidP="007D7145">
            <w:pPr>
              <w:spacing w:after="120" w:line="240" w:lineRule="auto"/>
              <w:rPr>
                <w:rFonts w:ascii="Arial" w:hAnsi="Arial" w:cs="Arial"/>
                <w:b/>
                <w:bCs/>
                <w:color w:val="000000" w:themeColor="text1"/>
                <w:sz w:val="22"/>
                <w:szCs w:val="22"/>
              </w:rPr>
            </w:pPr>
            <w:bookmarkStart w:id="36" w:name="Title_7" w:colFirst="0" w:colLast="0"/>
            <w:r w:rsidRPr="00AF22E8">
              <w:rPr>
                <w:rFonts w:ascii="Arial" w:hAnsi="Arial" w:cs="Arial"/>
                <w:b/>
                <w:bCs/>
                <w:color w:val="000000" w:themeColor="text1"/>
                <w:sz w:val="22"/>
                <w:szCs w:val="22"/>
              </w:rPr>
              <w:t>Visitor type</w:t>
            </w:r>
          </w:p>
        </w:tc>
        <w:tc>
          <w:tcPr>
            <w:tcW w:w="2268" w:type="dxa"/>
            <w:shd w:val="clear" w:color="auto" w:fill="D9D9D9" w:themeFill="background1" w:themeFillShade="D9"/>
          </w:tcPr>
          <w:p w14:paraId="41B01E73" w14:textId="4581B367" w:rsidR="00F57C38" w:rsidRPr="00AF22E8" w:rsidRDefault="00F57C38" w:rsidP="007D7145">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Growth rate </w:t>
            </w:r>
            <w:r w:rsidR="00594CE7" w:rsidRPr="00AF22E8">
              <w:rPr>
                <w:rFonts w:ascii="Arial" w:hAnsi="Arial" w:cs="Arial"/>
                <w:b/>
                <w:bCs/>
                <w:color w:val="000000" w:themeColor="text1"/>
                <w:sz w:val="22"/>
                <w:szCs w:val="22"/>
              </w:rPr>
              <w:t xml:space="preserve">from </w:t>
            </w:r>
            <w:r w:rsidR="00AF22E8">
              <w:rPr>
                <w:rFonts w:ascii="Arial" w:hAnsi="Arial" w:cs="Arial"/>
                <w:b/>
                <w:bCs/>
                <w:color w:val="000000" w:themeColor="text1"/>
                <w:sz w:val="22"/>
                <w:szCs w:val="22"/>
              </w:rPr>
              <w:t>202</w:t>
            </w:r>
            <w:r w:rsidR="005940EB">
              <w:rPr>
                <w:rFonts w:ascii="Arial" w:hAnsi="Arial" w:cs="Arial"/>
                <w:b/>
                <w:bCs/>
                <w:color w:val="000000" w:themeColor="text1"/>
                <w:sz w:val="22"/>
                <w:szCs w:val="22"/>
              </w:rPr>
              <w:t>4</w:t>
            </w:r>
            <w:r w:rsidR="00594CE7" w:rsidRPr="00AF22E8">
              <w:rPr>
                <w:rFonts w:ascii="Arial" w:hAnsi="Arial" w:cs="Arial"/>
                <w:b/>
                <w:bCs/>
                <w:color w:val="000000" w:themeColor="text1"/>
                <w:sz w:val="22"/>
                <w:szCs w:val="22"/>
              </w:rPr>
              <w:t xml:space="preserve"> to </w:t>
            </w:r>
            <w:r w:rsidRPr="00AF22E8">
              <w:rPr>
                <w:rFonts w:ascii="Arial" w:hAnsi="Arial" w:cs="Arial"/>
                <w:b/>
                <w:bCs/>
                <w:color w:val="000000" w:themeColor="text1"/>
                <w:sz w:val="22"/>
                <w:szCs w:val="22"/>
              </w:rPr>
              <w:t>202</w:t>
            </w:r>
            <w:r w:rsidR="005940EB">
              <w:rPr>
                <w:rFonts w:ascii="Arial" w:hAnsi="Arial" w:cs="Arial"/>
                <w:b/>
                <w:bCs/>
                <w:color w:val="000000" w:themeColor="text1"/>
                <w:sz w:val="22"/>
                <w:szCs w:val="22"/>
              </w:rPr>
              <w:t>5</w:t>
            </w:r>
          </w:p>
        </w:tc>
        <w:tc>
          <w:tcPr>
            <w:tcW w:w="3260" w:type="dxa"/>
            <w:shd w:val="clear" w:color="auto" w:fill="D9D9D9" w:themeFill="background1" w:themeFillShade="D9"/>
          </w:tcPr>
          <w:p w14:paraId="1C8CF506" w14:textId="3FB47525" w:rsidR="00F57C38" w:rsidRPr="00AF22E8" w:rsidRDefault="00F57C38" w:rsidP="007D7145">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Average annual growth rate from </w:t>
            </w:r>
            <w:r w:rsidR="00AF22E8">
              <w:rPr>
                <w:rFonts w:ascii="Arial" w:hAnsi="Arial" w:cs="Arial"/>
                <w:b/>
                <w:bCs/>
                <w:color w:val="000000" w:themeColor="text1"/>
                <w:sz w:val="22"/>
                <w:szCs w:val="22"/>
              </w:rPr>
              <w:t>2024</w:t>
            </w:r>
            <w:r w:rsidRPr="00AF22E8">
              <w:rPr>
                <w:rFonts w:ascii="Arial" w:hAnsi="Arial" w:cs="Arial"/>
                <w:b/>
                <w:bCs/>
                <w:color w:val="000000" w:themeColor="text1"/>
                <w:sz w:val="22"/>
                <w:szCs w:val="22"/>
              </w:rPr>
              <w:t xml:space="preserve"> to </w:t>
            </w:r>
            <w:r w:rsidR="00AF22E8">
              <w:rPr>
                <w:rFonts w:ascii="Arial" w:hAnsi="Arial" w:cs="Arial"/>
                <w:b/>
                <w:bCs/>
                <w:color w:val="000000" w:themeColor="text1"/>
                <w:sz w:val="22"/>
                <w:szCs w:val="22"/>
              </w:rPr>
              <w:t>2029</w:t>
            </w:r>
          </w:p>
        </w:tc>
      </w:tr>
      <w:bookmarkEnd w:id="36"/>
      <w:tr w:rsidR="00F57C38" w:rsidRPr="00AF22E8" w14:paraId="14E5EE84" w14:textId="77777777" w:rsidTr="00F91B2C">
        <w:trPr>
          <w:tblHeader/>
        </w:trPr>
        <w:tc>
          <w:tcPr>
            <w:tcW w:w="3539" w:type="dxa"/>
          </w:tcPr>
          <w:p w14:paraId="3EF75B8D" w14:textId="0461EBBC" w:rsidR="00F57C38" w:rsidRPr="00AF22E8" w:rsidRDefault="00F57C38" w:rsidP="007D7145">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Total visitor</w:t>
            </w:r>
            <w:r w:rsidR="0087336E" w:rsidRPr="00AF22E8">
              <w:rPr>
                <w:rFonts w:ascii="Arial" w:hAnsi="Arial" w:cs="Arial"/>
                <w:b/>
                <w:bCs/>
                <w:color w:val="000000" w:themeColor="text1"/>
                <w:sz w:val="22"/>
                <w:szCs w:val="22"/>
              </w:rPr>
              <w:t>s</w:t>
            </w:r>
          </w:p>
        </w:tc>
        <w:tc>
          <w:tcPr>
            <w:tcW w:w="2268" w:type="dxa"/>
          </w:tcPr>
          <w:p w14:paraId="328003D8" w14:textId="37339629"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F91B2C">
              <w:rPr>
                <w:rFonts w:ascii="Arial" w:hAnsi="Arial" w:cs="Arial"/>
                <w:color w:val="000000" w:themeColor="text1"/>
                <w:sz w:val="22"/>
                <w:szCs w:val="22"/>
              </w:rPr>
              <w:t>3</w:t>
            </w:r>
            <w:r w:rsidR="007E0B6E" w:rsidRPr="00AF22E8">
              <w:rPr>
                <w:rFonts w:ascii="Arial" w:hAnsi="Arial" w:cs="Arial"/>
                <w:color w:val="000000" w:themeColor="text1"/>
                <w:sz w:val="22"/>
                <w:szCs w:val="22"/>
              </w:rPr>
              <w:t>.</w:t>
            </w:r>
            <w:r w:rsidR="00F91B2C">
              <w:rPr>
                <w:rFonts w:ascii="Arial" w:hAnsi="Arial" w:cs="Arial"/>
                <w:color w:val="000000" w:themeColor="text1"/>
                <w:sz w:val="22"/>
                <w:szCs w:val="22"/>
              </w:rPr>
              <w:t>1</w:t>
            </w:r>
            <w:r w:rsidRPr="00AF22E8">
              <w:rPr>
                <w:rFonts w:ascii="Arial" w:hAnsi="Arial" w:cs="Arial"/>
                <w:color w:val="000000" w:themeColor="text1"/>
                <w:sz w:val="22"/>
                <w:szCs w:val="22"/>
              </w:rPr>
              <w:t>%</w:t>
            </w:r>
          </w:p>
        </w:tc>
        <w:tc>
          <w:tcPr>
            <w:tcW w:w="3260" w:type="dxa"/>
          </w:tcPr>
          <w:p w14:paraId="74204437" w14:textId="417E01D5"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DE28B6" w:rsidRPr="00AF22E8">
              <w:rPr>
                <w:rFonts w:ascii="Arial" w:hAnsi="Arial" w:cs="Arial"/>
                <w:color w:val="000000" w:themeColor="text1"/>
                <w:sz w:val="22"/>
                <w:szCs w:val="22"/>
              </w:rPr>
              <w:t>3.</w:t>
            </w:r>
            <w:r w:rsidR="00F91B2C">
              <w:rPr>
                <w:rFonts w:ascii="Arial" w:hAnsi="Arial" w:cs="Arial"/>
                <w:color w:val="000000" w:themeColor="text1"/>
                <w:sz w:val="22"/>
                <w:szCs w:val="22"/>
              </w:rPr>
              <w:t>8</w:t>
            </w:r>
            <w:r w:rsidRPr="00AF22E8">
              <w:rPr>
                <w:rFonts w:ascii="Arial" w:hAnsi="Arial" w:cs="Arial"/>
                <w:color w:val="000000" w:themeColor="text1"/>
                <w:sz w:val="22"/>
                <w:szCs w:val="22"/>
              </w:rPr>
              <w:t>% per annum</w:t>
            </w:r>
          </w:p>
        </w:tc>
      </w:tr>
      <w:tr w:rsidR="00F57C38" w:rsidRPr="00AF22E8" w14:paraId="3BAF5766" w14:textId="77777777" w:rsidTr="00F91B2C">
        <w:tc>
          <w:tcPr>
            <w:tcW w:w="3539" w:type="dxa"/>
          </w:tcPr>
          <w:p w14:paraId="53FBED3B" w14:textId="5741FCA4" w:rsidR="00F57C38" w:rsidRPr="00AF22E8" w:rsidRDefault="00F57C38" w:rsidP="007D7145">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Domestic daytrip</w:t>
            </w:r>
            <w:r w:rsidR="0087336E" w:rsidRPr="00AF22E8">
              <w:rPr>
                <w:rFonts w:ascii="Arial" w:hAnsi="Arial" w:cs="Arial"/>
                <w:b/>
                <w:bCs/>
                <w:color w:val="000000" w:themeColor="text1"/>
                <w:sz w:val="22"/>
                <w:szCs w:val="22"/>
              </w:rPr>
              <w:t xml:space="preserve"> visitors</w:t>
            </w:r>
          </w:p>
        </w:tc>
        <w:tc>
          <w:tcPr>
            <w:tcW w:w="2268" w:type="dxa"/>
          </w:tcPr>
          <w:p w14:paraId="02C8E1E1" w14:textId="665E295A"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DE28B6" w:rsidRPr="00AF22E8">
              <w:rPr>
                <w:rFonts w:ascii="Arial" w:hAnsi="Arial" w:cs="Arial"/>
                <w:color w:val="000000" w:themeColor="text1"/>
              </w:rPr>
              <w:t>3.4</w:t>
            </w:r>
            <w:r w:rsidRPr="00AF22E8">
              <w:rPr>
                <w:rFonts w:ascii="Arial" w:hAnsi="Arial" w:cs="Arial"/>
              </w:rPr>
              <w:t>%</w:t>
            </w:r>
          </w:p>
        </w:tc>
        <w:tc>
          <w:tcPr>
            <w:tcW w:w="3260" w:type="dxa"/>
          </w:tcPr>
          <w:p w14:paraId="6F8E285C" w14:textId="513430A9"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F91B2C">
              <w:rPr>
                <w:rFonts w:ascii="Arial" w:hAnsi="Arial" w:cs="Arial"/>
                <w:color w:val="000000" w:themeColor="text1"/>
              </w:rPr>
              <w:t>4</w:t>
            </w:r>
            <w:r w:rsidR="00DE28B6" w:rsidRPr="00AF22E8">
              <w:rPr>
                <w:rFonts w:ascii="Arial" w:hAnsi="Arial" w:cs="Arial"/>
                <w:color w:val="000000" w:themeColor="text1"/>
              </w:rPr>
              <w:t>.3</w:t>
            </w:r>
            <w:r w:rsidRPr="00AF22E8">
              <w:rPr>
                <w:rFonts w:ascii="Arial" w:hAnsi="Arial" w:cs="Arial"/>
              </w:rPr>
              <w:t>% per annum</w:t>
            </w:r>
          </w:p>
        </w:tc>
      </w:tr>
      <w:tr w:rsidR="00F57C38" w:rsidRPr="00AF22E8" w14:paraId="5E7E9830" w14:textId="77777777" w:rsidTr="00F91B2C">
        <w:tc>
          <w:tcPr>
            <w:tcW w:w="3539" w:type="dxa"/>
          </w:tcPr>
          <w:p w14:paraId="50B8A5EA" w14:textId="05741B12" w:rsidR="00F57C38" w:rsidRPr="00AF22E8" w:rsidRDefault="00F57C38" w:rsidP="007D7145">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Domestic overnight </w:t>
            </w:r>
            <w:r w:rsidR="0087336E" w:rsidRPr="00AF22E8">
              <w:rPr>
                <w:rFonts w:ascii="Arial" w:hAnsi="Arial" w:cs="Arial"/>
                <w:b/>
                <w:bCs/>
                <w:color w:val="000000" w:themeColor="text1"/>
                <w:sz w:val="22"/>
                <w:szCs w:val="22"/>
              </w:rPr>
              <w:t>visitors</w:t>
            </w:r>
          </w:p>
        </w:tc>
        <w:tc>
          <w:tcPr>
            <w:tcW w:w="2268" w:type="dxa"/>
          </w:tcPr>
          <w:p w14:paraId="56C1F53F" w14:textId="52D400AC"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F91B2C">
              <w:rPr>
                <w:rFonts w:ascii="Arial" w:hAnsi="Arial" w:cs="Arial"/>
                <w:color w:val="000000" w:themeColor="text1"/>
              </w:rPr>
              <w:t>1</w:t>
            </w:r>
            <w:r w:rsidR="00DE28B6" w:rsidRPr="00AF22E8">
              <w:rPr>
                <w:rFonts w:ascii="Arial" w:hAnsi="Arial" w:cs="Arial"/>
                <w:color w:val="000000" w:themeColor="text1"/>
              </w:rPr>
              <w:t>.</w:t>
            </w:r>
            <w:r w:rsidR="00F91B2C">
              <w:rPr>
                <w:rFonts w:ascii="Arial" w:hAnsi="Arial" w:cs="Arial"/>
                <w:color w:val="000000" w:themeColor="text1"/>
              </w:rPr>
              <w:t>8</w:t>
            </w:r>
            <w:r w:rsidRPr="00AF22E8">
              <w:rPr>
                <w:rFonts w:ascii="Arial" w:hAnsi="Arial" w:cs="Arial"/>
              </w:rPr>
              <w:t>%</w:t>
            </w:r>
          </w:p>
        </w:tc>
        <w:tc>
          <w:tcPr>
            <w:tcW w:w="3260" w:type="dxa"/>
          </w:tcPr>
          <w:p w14:paraId="69EA59A9" w14:textId="19E95377"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8F119F" w:rsidRPr="00AF22E8">
              <w:rPr>
                <w:rFonts w:ascii="Arial" w:hAnsi="Arial" w:cs="Arial"/>
                <w:color w:val="000000" w:themeColor="text1"/>
                <w:sz w:val="22"/>
                <w:szCs w:val="22"/>
              </w:rPr>
              <w:t>2.5</w:t>
            </w:r>
            <w:r w:rsidRPr="00AF22E8">
              <w:rPr>
                <w:rFonts w:ascii="Arial" w:hAnsi="Arial" w:cs="Arial"/>
                <w:color w:val="000000" w:themeColor="text1"/>
                <w:sz w:val="22"/>
                <w:szCs w:val="22"/>
              </w:rPr>
              <w:t>% per annum</w:t>
            </w:r>
          </w:p>
        </w:tc>
      </w:tr>
      <w:tr w:rsidR="00F57C38" w:rsidRPr="00AF22E8" w14:paraId="479944DF" w14:textId="77777777" w:rsidTr="00F91B2C">
        <w:tc>
          <w:tcPr>
            <w:tcW w:w="3539" w:type="dxa"/>
          </w:tcPr>
          <w:p w14:paraId="39A14394" w14:textId="089613A2" w:rsidR="00F57C38" w:rsidRPr="00AF22E8" w:rsidRDefault="00F57C38" w:rsidP="007D7145">
            <w:pPr>
              <w:spacing w:after="120" w:line="240" w:lineRule="auto"/>
              <w:rPr>
                <w:rFonts w:ascii="Arial" w:hAnsi="Arial" w:cs="Arial"/>
                <w:b/>
                <w:bCs/>
                <w:color w:val="000000" w:themeColor="text1"/>
                <w:sz w:val="22"/>
                <w:szCs w:val="22"/>
              </w:rPr>
            </w:pPr>
            <w:r w:rsidRPr="00AF22E8">
              <w:rPr>
                <w:rFonts w:ascii="Arial" w:hAnsi="Arial" w:cs="Arial"/>
                <w:b/>
                <w:bCs/>
                <w:color w:val="000000" w:themeColor="text1"/>
                <w:sz w:val="22"/>
                <w:szCs w:val="22"/>
              </w:rPr>
              <w:t xml:space="preserve">International overnight </w:t>
            </w:r>
            <w:r w:rsidR="0087336E" w:rsidRPr="00AF22E8">
              <w:rPr>
                <w:rFonts w:ascii="Arial" w:hAnsi="Arial" w:cs="Arial"/>
                <w:b/>
                <w:bCs/>
                <w:color w:val="000000" w:themeColor="text1"/>
                <w:sz w:val="22"/>
                <w:szCs w:val="22"/>
              </w:rPr>
              <w:t>visitors</w:t>
            </w:r>
          </w:p>
        </w:tc>
        <w:tc>
          <w:tcPr>
            <w:tcW w:w="2268" w:type="dxa"/>
          </w:tcPr>
          <w:p w14:paraId="7AAA4BF2" w14:textId="39210714"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F91B2C">
              <w:rPr>
                <w:rFonts w:ascii="Arial" w:hAnsi="Arial" w:cs="Arial"/>
                <w:color w:val="000000" w:themeColor="text1"/>
              </w:rPr>
              <w:t>11</w:t>
            </w:r>
            <w:r w:rsidR="00DE28B6" w:rsidRPr="00AF22E8">
              <w:rPr>
                <w:rFonts w:ascii="Arial" w:hAnsi="Arial" w:cs="Arial"/>
                <w:color w:val="000000" w:themeColor="text1"/>
              </w:rPr>
              <w:t>.</w:t>
            </w:r>
            <w:r w:rsidR="00F91B2C">
              <w:rPr>
                <w:rFonts w:ascii="Arial" w:hAnsi="Arial" w:cs="Arial"/>
                <w:color w:val="000000" w:themeColor="text1"/>
              </w:rPr>
              <w:t>8</w:t>
            </w:r>
            <w:r w:rsidRPr="00AF22E8">
              <w:rPr>
                <w:rFonts w:ascii="Arial" w:hAnsi="Arial" w:cs="Arial"/>
              </w:rPr>
              <w:t>%</w:t>
            </w:r>
          </w:p>
        </w:tc>
        <w:tc>
          <w:tcPr>
            <w:tcW w:w="3260" w:type="dxa"/>
          </w:tcPr>
          <w:p w14:paraId="7230722E" w14:textId="0BD27452" w:rsidR="00F57C38" w:rsidRPr="00AF22E8" w:rsidRDefault="00F57C38" w:rsidP="007D7145">
            <w:pPr>
              <w:spacing w:after="120" w:line="240" w:lineRule="auto"/>
              <w:rPr>
                <w:rFonts w:ascii="Arial" w:hAnsi="Arial" w:cs="Arial"/>
                <w:color w:val="000000" w:themeColor="text1"/>
                <w:sz w:val="22"/>
                <w:szCs w:val="22"/>
              </w:rPr>
            </w:pPr>
            <w:r w:rsidRPr="00AF22E8">
              <w:rPr>
                <w:rFonts w:ascii="Arial" w:hAnsi="Arial" w:cs="Arial"/>
                <w:color w:val="000000" w:themeColor="text1"/>
                <w:sz w:val="22"/>
                <w:szCs w:val="22"/>
              </w:rPr>
              <w:t xml:space="preserve">Increase of </w:t>
            </w:r>
            <w:r w:rsidR="00F91B2C">
              <w:rPr>
                <w:rFonts w:ascii="Arial" w:hAnsi="Arial" w:cs="Arial"/>
                <w:color w:val="000000" w:themeColor="text1"/>
                <w:sz w:val="22"/>
                <w:szCs w:val="22"/>
              </w:rPr>
              <w:t>7</w:t>
            </w:r>
            <w:r w:rsidR="008F119F" w:rsidRPr="00AF22E8">
              <w:rPr>
                <w:rFonts w:ascii="Arial" w:hAnsi="Arial" w:cs="Arial"/>
                <w:color w:val="000000" w:themeColor="text1"/>
                <w:sz w:val="22"/>
                <w:szCs w:val="22"/>
              </w:rPr>
              <w:t>.</w:t>
            </w:r>
            <w:r w:rsidR="00F91B2C">
              <w:rPr>
                <w:rFonts w:ascii="Arial" w:hAnsi="Arial" w:cs="Arial"/>
                <w:color w:val="000000" w:themeColor="text1"/>
                <w:sz w:val="22"/>
                <w:szCs w:val="22"/>
              </w:rPr>
              <w:t>6</w:t>
            </w:r>
            <w:r w:rsidRPr="00AF22E8">
              <w:rPr>
                <w:rFonts w:ascii="Arial" w:hAnsi="Arial" w:cs="Arial"/>
                <w:color w:val="000000" w:themeColor="text1"/>
                <w:sz w:val="22"/>
                <w:szCs w:val="22"/>
              </w:rPr>
              <w:t>% per annum</w:t>
            </w:r>
          </w:p>
        </w:tc>
      </w:tr>
    </w:tbl>
    <w:p w14:paraId="2EF612F4" w14:textId="3D7D7550" w:rsidR="00960805" w:rsidRPr="00DF154D" w:rsidRDefault="00960805" w:rsidP="00960805">
      <w:pPr>
        <w:pStyle w:val="Default"/>
        <w:rPr>
          <w:rFonts w:ascii="Arial" w:eastAsiaTheme="minorEastAsia" w:hAnsi="Arial" w:cs="Arial"/>
          <w:color w:val="auto"/>
          <w:sz w:val="22"/>
          <w:szCs w:val="22"/>
        </w:rPr>
      </w:pPr>
      <w:r w:rsidRPr="00DF154D">
        <w:rPr>
          <w:rFonts w:ascii="Arial" w:eastAsiaTheme="minorEastAsia" w:hAnsi="Arial" w:cs="Arial"/>
          <w:color w:val="auto"/>
          <w:sz w:val="22"/>
          <w:szCs w:val="22"/>
        </w:rPr>
        <w:t>To note: International and total visitor growth rates for Victoria differ to the national growth rates published by TRA due to Victoria’s underlying shares of visitor types and how they aggregate.</w:t>
      </w:r>
    </w:p>
    <w:p w14:paraId="5B2876CB" w14:textId="49034813" w:rsidR="00FC726E" w:rsidRPr="00AF22E8" w:rsidRDefault="005940EB" w:rsidP="00FC726E">
      <w:pPr>
        <w:pStyle w:val="Heading1"/>
        <w:rPr>
          <w:rFonts w:ascii="Arial" w:hAnsi="Arial" w:cs="Arial"/>
        </w:rPr>
      </w:pPr>
      <w:bookmarkStart w:id="37" w:name="_Toc184116523"/>
      <w:r>
        <w:rPr>
          <w:rFonts w:ascii="Arial" w:hAnsi="Arial" w:cs="Arial"/>
        </w:rPr>
        <w:t xml:space="preserve">6.0 </w:t>
      </w:r>
      <w:r w:rsidR="00B64922" w:rsidRPr="00AF22E8">
        <w:rPr>
          <w:rFonts w:ascii="Arial" w:hAnsi="Arial" w:cs="Arial"/>
        </w:rPr>
        <w:t>D</w:t>
      </w:r>
      <w:r w:rsidR="000A17A5" w:rsidRPr="00AF22E8">
        <w:rPr>
          <w:rFonts w:ascii="Arial" w:hAnsi="Arial" w:cs="Arial"/>
        </w:rPr>
        <w:t xml:space="preserve">omestic </w:t>
      </w:r>
      <w:r w:rsidR="00FC726E" w:rsidRPr="00AF22E8">
        <w:rPr>
          <w:rFonts w:ascii="Arial" w:hAnsi="Arial" w:cs="Arial"/>
        </w:rPr>
        <w:t>visitor</w:t>
      </w:r>
      <w:r w:rsidR="000A17A5" w:rsidRPr="00AF22E8">
        <w:rPr>
          <w:rFonts w:ascii="Arial" w:hAnsi="Arial" w:cs="Arial"/>
        </w:rPr>
        <w:t xml:space="preserve"> nights</w:t>
      </w:r>
      <w:r w:rsidR="00FC726E" w:rsidRPr="00AF22E8">
        <w:rPr>
          <w:rFonts w:ascii="Arial" w:hAnsi="Arial" w:cs="Arial"/>
        </w:rPr>
        <w:t xml:space="preserve"> forecasts</w:t>
      </w:r>
      <w:r w:rsidR="00F80451" w:rsidRPr="00AF22E8">
        <w:rPr>
          <w:rFonts w:ascii="Arial" w:hAnsi="Arial" w:cs="Arial"/>
        </w:rPr>
        <w:t xml:space="preserve"> for Victoria</w:t>
      </w:r>
      <w:bookmarkEnd w:id="37"/>
    </w:p>
    <w:p w14:paraId="2DFA0360" w14:textId="77777777" w:rsidR="0055347A" w:rsidRPr="0055347A" w:rsidRDefault="0055347A" w:rsidP="0055347A">
      <w:pPr>
        <w:rPr>
          <w:rFonts w:ascii="Arial" w:hAnsi="Arial" w:cs="Arial"/>
          <w:color w:val="000000" w:themeColor="text1"/>
          <w:sz w:val="4"/>
          <w:szCs w:val="4"/>
        </w:rPr>
      </w:pPr>
    </w:p>
    <w:p w14:paraId="0927D9AF" w14:textId="1C34BB16" w:rsidR="00B34AB4" w:rsidRDefault="00B34AB4" w:rsidP="000A17A5">
      <w:pPr>
        <w:pStyle w:val="ListParagraph"/>
        <w:numPr>
          <w:ilvl w:val="0"/>
          <w:numId w:val="3"/>
        </w:numPr>
        <w:rPr>
          <w:rFonts w:ascii="Arial" w:hAnsi="Arial" w:cs="Arial"/>
          <w:color w:val="000000" w:themeColor="text1"/>
          <w:sz w:val="22"/>
          <w:szCs w:val="22"/>
        </w:rPr>
      </w:pPr>
      <w:r w:rsidRPr="00B34AB4">
        <w:rPr>
          <w:rFonts w:ascii="Arial" w:hAnsi="Arial" w:cs="Arial"/>
          <w:color w:val="000000" w:themeColor="text1"/>
          <w:sz w:val="22"/>
          <w:szCs w:val="22"/>
        </w:rPr>
        <w:t>Domestic nights forecasts for Victoria are produced by Tourism Research Australia</w:t>
      </w:r>
      <w:r>
        <w:rPr>
          <w:rFonts w:ascii="Arial" w:hAnsi="Arial" w:cs="Arial"/>
          <w:color w:val="000000" w:themeColor="text1"/>
          <w:sz w:val="22"/>
          <w:szCs w:val="22"/>
        </w:rPr>
        <w:t>.</w:t>
      </w:r>
    </w:p>
    <w:p w14:paraId="7D82A48D" w14:textId="23B3612A" w:rsidR="006B4A2C" w:rsidRPr="00AF22E8" w:rsidRDefault="003458D9" w:rsidP="000A17A5">
      <w:pPr>
        <w:pStyle w:val="ListParagraph"/>
        <w:numPr>
          <w:ilvl w:val="0"/>
          <w:numId w:val="3"/>
        </w:numPr>
        <w:rPr>
          <w:rFonts w:ascii="Arial" w:hAnsi="Arial" w:cs="Arial"/>
          <w:color w:val="000000" w:themeColor="text1"/>
          <w:sz w:val="22"/>
          <w:szCs w:val="22"/>
        </w:rPr>
      </w:pPr>
      <w:r w:rsidRPr="003458D9">
        <w:rPr>
          <w:rFonts w:ascii="Arial" w:hAnsi="Arial" w:cs="Arial"/>
          <w:color w:val="000000" w:themeColor="text1"/>
          <w:sz w:val="22"/>
          <w:szCs w:val="22"/>
        </w:rPr>
        <w:t>Domestic travel demand is weaker than previously expected, with a downward revision to the growth outlook for domestic visitor nights in Victoria which are forecast back to 2019 levels in 2026 at 83.5 million</w:t>
      </w:r>
      <w:r w:rsidR="00FC726E" w:rsidRPr="00AF22E8">
        <w:rPr>
          <w:rFonts w:ascii="Arial" w:hAnsi="Arial" w:cs="Arial"/>
          <w:color w:val="000000" w:themeColor="text1"/>
          <w:sz w:val="22"/>
          <w:szCs w:val="22"/>
        </w:rPr>
        <w:t>.</w:t>
      </w:r>
    </w:p>
    <w:p w14:paraId="6984E790" w14:textId="20B75FE6" w:rsidR="00D15073" w:rsidRPr="00AF22E8" w:rsidRDefault="007901B5" w:rsidP="000A17A5">
      <w:pPr>
        <w:pStyle w:val="ListParagraph"/>
        <w:numPr>
          <w:ilvl w:val="0"/>
          <w:numId w:val="3"/>
        </w:numPr>
        <w:rPr>
          <w:rFonts w:ascii="Arial" w:hAnsi="Arial" w:cs="Arial"/>
          <w:color w:val="000000" w:themeColor="text1"/>
          <w:sz w:val="22"/>
          <w:szCs w:val="22"/>
        </w:rPr>
      </w:pPr>
      <w:r w:rsidRPr="007901B5">
        <w:rPr>
          <w:rFonts w:ascii="Arial" w:hAnsi="Arial" w:cs="Arial"/>
          <w:color w:val="000000" w:themeColor="text1"/>
          <w:sz w:val="22"/>
          <w:szCs w:val="22"/>
        </w:rPr>
        <w:t>Domestic nights in Victoria are projected to reach 93.6 million in 2029, up 18% from 2024</w:t>
      </w:r>
      <w:r w:rsidR="00FC726E" w:rsidRPr="00AF22E8">
        <w:rPr>
          <w:rFonts w:ascii="Arial" w:hAnsi="Arial" w:cs="Arial"/>
          <w:color w:val="000000" w:themeColor="text1"/>
          <w:sz w:val="22"/>
          <w:szCs w:val="22"/>
        </w:rPr>
        <w:t>.</w:t>
      </w:r>
    </w:p>
    <w:p w14:paraId="44B171E2" w14:textId="15256288" w:rsidR="004C6C30" w:rsidRPr="00AF22E8" w:rsidRDefault="00561FAA" w:rsidP="00B40722">
      <w:pPr>
        <w:pStyle w:val="ListParagraph"/>
        <w:numPr>
          <w:ilvl w:val="0"/>
          <w:numId w:val="3"/>
        </w:numPr>
        <w:rPr>
          <w:rFonts w:ascii="Arial" w:hAnsi="Arial" w:cs="Arial"/>
          <w:color w:val="000000" w:themeColor="text1"/>
          <w:sz w:val="22"/>
          <w:szCs w:val="22"/>
        </w:rPr>
      </w:pPr>
      <w:r w:rsidRPr="00561FAA">
        <w:rPr>
          <w:rFonts w:ascii="Arial" w:hAnsi="Arial" w:cs="Arial"/>
          <w:color w:val="000000" w:themeColor="text1"/>
          <w:sz w:val="22"/>
          <w:szCs w:val="22"/>
        </w:rPr>
        <w:t>Holiday nights are forecast to continue to be the main generator of domestic nights in Victoria, representing almost half of all domestic visitor nights or 47% in 2029</w:t>
      </w:r>
      <w:r w:rsidR="00FC726E" w:rsidRPr="00AF22E8">
        <w:rPr>
          <w:rFonts w:ascii="Arial" w:hAnsi="Arial" w:cs="Arial"/>
          <w:color w:val="000000" w:themeColor="text1"/>
          <w:sz w:val="22"/>
          <w:szCs w:val="22"/>
        </w:rPr>
        <w:t>.</w:t>
      </w:r>
    </w:p>
    <w:p w14:paraId="36AFFD4C" w14:textId="2A27FB86" w:rsidR="00926D87" w:rsidRDefault="00926D87" w:rsidP="00B40722">
      <w:pPr>
        <w:pStyle w:val="ListParagraph"/>
        <w:numPr>
          <w:ilvl w:val="0"/>
          <w:numId w:val="3"/>
        </w:numPr>
        <w:rPr>
          <w:rFonts w:ascii="Arial" w:hAnsi="Arial" w:cs="Arial"/>
          <w:color w:val="000000" w:themeColor="text1"/>
          <w:sz w:val="22"/>
          <w:szCs w:val="22"/>
        </w:rPr>
      </w:pPr>
      <w:r w:rsidRPr="00926D87">
        <w:rPr>
          <w:rFonts w:ascii="Arial" w:hAnsi="Arial" w:cs="Arial"/>
          <w:color w:val="000000" w:themeColor="text1"/>
          <w:sz w:val="22"/>
          <w:szCs w:val="22"/>
        </w:rPr>
        <w:t>Nights by those visiting friends and family (VFR) are forecast to represent almost a third or 31% of total domestic visitor nights in 2029</w:t>
      </w:r>
      <w:r>
        <w:rPr>
          <w:rFonts w:ascii="Arial" w:hAnsi="Arial" w:cs="Arial"/>
          <w:color w:val="000000" w:themeColor="text1"/>
          <w:sz w:val="22"/>
          <w:szCs w:val="22"/>
        </w:rPr>
        <w:t>.</w:t>
      </w:r>
    </w:p>
    <w:p w14:paraId="164871C1" w14:textId="2766EF12" w:rsidR="00045485" w:rsidRPr="00AF22E8" w:rsidRDefault="00955DAE" w:rsidP="00B40722">
      <w:pPr>
        <w:pStyle w:val="ListParagraph"/>
        <w:numPr>
          <w:ilvl w:val="0"/>
          <w:numId w:val="3"/>
        </w:numPr>
        <w:rPr>
          <w:rFonts w:ascii="Arial" w:hAnsi="Arial" w:cs="Arial"/>
          <w:color w:val="000000" w:themeColor="text1"/>
          <w:sz w:val="22"/>
          <w:szCs w:val="22"/>
        </w:rPr>
      </w:pPr>
      <w:r w:rsidRPr="00955DAE">
        <w:rPr>
          <w:rFonts w:ascii="Arial" w:hAnsi="Arial" w:cs="Arial"/>
          <w:color w:val="000000" w:themeColor="text1"/>
          <w:sz w:val="22"/>
          <w:szCs w:val="22"/>
        </w:rPr>
        <w:t>Domestic business nights in Victoria are expected to have strongest growth in the short-term compared to holiday or VFR segments, as it is yet to return to 2019 levels due to shifts in digital communications and economic trends. Business nights are expected to represent 17% of all domestic visitor nights in 2029</w:t>
      </w:r>
      <w:r w:rsidR="00A91D2B" w:rsidRPr="00AF22E8">
        <w:rPr>
          <w:rFonts w:ascii="Arial" w:hAnsi="Arial" w:cs="Arial"/>
          <w:color w:val="000000" w:themeColor="text1"/>
          <w:sz w:val="22"/>
          <w:szCs w:val="22"/>
        </w:rPr>
        <w:t>.</w:t>
      </w:r>
    </w:p>
    <w:p w14:paraId="6F9C843E" w14:textId="1A681DE7" w:rsidR="00B40722" w:rsidRPr="0055347A" w:rsidRDefault="005940EB" w:rsidP="0085353B">
      <w:pPr>
        <w:pStyle w:val="Heading2"/>
        <w:spacing w:before="80" w:line="240" w:lineRule="auto"/>
        <w:rPr>
          <w:rFonts w:ascii="Arial" w:hAnsi="Arial" w:cs="Arial"/>
          <w:color w:val="002060"/>
        </w:rPr>
      </w:pPr>
      <w:bookmarkStart w:id="38" w:name="_Toc184116524"/>
      <w:r w:rsidRPr="0055347A">
        <w:rPr>
          <w:rFonts w:ascii="Arial" w:hAnsi="Arial" w:cs="Arial"/>
          <w:color w:val="002060"/>
        </w:rPr>
        <w:t xml:space="preserve">6.1 </w:t>
      </w:r>
      <w:r w:rsidR="00B40722" w:rsidRPr="0055347A">
        <w:rPr>
          <w:rFonts w:ascii="Arial" w:hAnsi="Arial" w:cs="Arial"/>
          <w:color w:val="002060"/>
        </w:rPr>
        <w:t>Data table: Forecast growth rates for domestic visitor nights</w:t>
      </w:r>
      <w:r w:rsidR="0087336E" w:rsidRPr="0055347A">
        <w:rPr>
          <w:rFonts w:ascii="Arial" w:hAnsi="Arial" w:cs="Arial"/>
          <w:color w:val="002060"/>
        </w:rPr>
        <w:t xml:space="preserve"> in</w:t>
      </w:r>
      <w:r w:rsidR="00B40722" w:rsidRPr="0055347A">
        <w:rPr>
          <w:rFonts w:ascii="Arial" w:hAnsi="Arial" w:cs="Arial"/>
          <w:color w:val="002060"/>
        </w:rPr>
        <w:t xml:space="preserve"> Victoria by </w:t>
      </w:r>
      <w:r w:rsidR="0087336E" w:rsidRPr="0055347A">
        <w:rPr>
          <w:rFonts w:ascii="Arial" w:hAnsi="Arial" w:cs="Arial"/>
          <w:color w:val="002060"/>
        </w:rPr>
        <w:t>purpose</w:t>
      </w:r>
      <w:bookmarkEnd w:id="38"/>
    </w:p>
    <w:p w14:paraId="0A256984" w14:textId="7BA766FB" w:rsidR="00701DA8" w:rsidRPr="00B8732F" w:rsidRDefault="00701DA8" w:rsidP="0085353B">
      <w:pPr>
        <w:spacing w:before="120" w:after="120" w:line="240" w:lineRule="auto"/>
        <w:rPr>
          <w:rFonts w:ascii="Arial" w:hAnsi="Arial" w:cs="Arial"/>
          <w:sz w:val="22"/>
          <w:szCs w:val="22"/>
        </w:rPr>
      </w:pPr>
      <w:r w:rsidRPr="00B8732F">
        <w:rPr>
          <w:rFonts w:ascii="Arial" w:hAnsi="Arial" w:cs="Arial"/>
          <w:sz w:val="22"/>
          <w:szCs w:val="22"/>
        </w:rPr>
        <w:t>For each purpose type, the table below provides the estimated growth rate for domestic visitor nights to 202</w:t>
      </w:r>
      <w:r w:rsidR="00D94C15" w:rsidRPr="00B8732F">
        <w:rPr>
          <w:rFonts w:ascii="Arial" w:hAnsi="Arial" w:cs="Arial"/>
          <w:sz w:val="22"/>
          <w:szCs w:val="22"/>
        </w:rPr>
        <w:t>5</w:t>
      </w:r>
      <w:r w:rsidRPr="00B8732F">
        <w:rPr>
          <w:rFonts w:ascii="Arial" w:hAnsi="Arial" w:cs="Arial"/>
          <w:sz w:val="22"/>
          <w:szCs w:val="22"/>
        </w:rPr>
        <w:t xml:space="preserve"> and the forecast average annual growth rate</w:t>
      </w:r>
      <w:r w:rsidR="00632623" w:rsidRPr="00B8732F">
        <w:rPr>
          <w:rFonts w:ascii="Arial" w:hAnsi="Arial" w:cs="Arial"/>
          <w:sz w:val="22"/>
          <w:szCs w:val="22"/>
        </w:rPr>
        <w:t xml:space="preserve"> of domestic visitor nights</w:t>
      </w:r>
      <w:r w:rsidRPr="00B8732F">
        <w:rPr>
          <w:rFonts w:ascii="Arial" w:hAnsi="Arial" w:cs="Arial"/>
          <w:sz w:val="22"/>
          <w:szCs w:val="22"/>
        </w:rPr>
        <w:t xml:space="preserve"> from </w:t>
      </w:r>
      <w:r w:rsidR="00AF22E8" w:rsidRPr="00B8732F">
        <w:rPr>
          <w:rFonts w:ascii="Arial" w:hAnsi="Arial" w:cs="Arial"/>
          <w:sz w:val="22"/>
          <w:szCs w:val="22"/>
        </w:rPr>
        <w:t>2024</w:t>
      </w:r>
      <w:r w:rsidRPr="00B8732F">
        <w:rPr>
          <w:rFonts w:ascii="Arial" w:hAnsi="Arial" w:cs="Arial"/>
          <w:sz w:val="22"/>
          <w:szCs w:val="22"/>
        </w:rPr>
        <w:t xml:space="preserve"> to </w:t>
      </w:r>
      <w:r w:rsidR="00AF22E8" w:rsidRPr="00B8732F">
        <w:rPr>
          <w:rFonts w:ascii="Arial" w:hAnsi="Arial" w:cs="Arial"/>
          <w:sz w:val="22"/>
          <w:szCs w:val="22"/>
        </w:rPr>
        <w:t>2029</w:t>
      </w:r>
      <w:r w:rsidRPr="00B8732F">
        <w:rPr>
          <w:rFonts w:ascii="Arial" w:hAnsi="Arial" w:cs="Arial"/>
          <w:sz w:val="22"/>
          <w:szCs w:val="22"/>
        </w:rPr>
        <w:t>.</w:t>
      </w:r>
    </w:p>
    <w:tbl>
      <w:tblPr>
        <w:tblStyle w:val="TableGrid"/>
        <w:tblW w:w="9067" w:type="dxa"/>
        <w:tblLook w:val="04A0" w:firstRow="1" w:lastRow="0" w:firstColumn="1" w:lastColumn="0" w:noHBand="0" w:noVBand="1"/>
      </w:tblPr>
      <w:tblGrid>
        <w:gridCol w:w="3539"/>
        <w:gridCol w:w="2410"/>
        <w:gridCol w:w="3118"/>
      </w:tblGrid>
      <w:tr w:rsidR="0069415A" w:rsidRPr="00157E45" w14:paraId="5B8455F0" w14:textId="77777777" w:rsidTr="000A0C83">
        <w:trPr>
          <w:trHeight w:val="576"/>
          <w:tblHeader/>
        </w:trPr>
        <w:tc>
          <w:tcPr>
            <w:tcW w:w="3539" w:type="dxa"/>
            <w:shd w:val="clear" w:color="auto" w:fill="D9D9D9" w:themeFill="background1" w:themeFillShade="D9"/>
          </w:tcPr>
          <w:p w14:paraId="628A4372" w14:textId="27228675" w:rsidR="0069415A" w:rsidRPr="00157E45" w:rsidRDefault="00827CE7" w:rsidP="0069415A">
            <w:pPr>
              <w:spacing w:after="120" w:line="240" w:lineRule="auto"/>
              <w:rPr>
                <w:rFonts w:ascii="Arial" w:hAnsi="Arial" w:cs="Arial"/>
                <w:b/>
                <w:bCs/>
                <w:color w:val="000000" w:themeColor="text1"/>
                <w:sz w:val="22"/>
                <w:szCs w:val="22"/>
              </w:rPr>
            </w:pPr>
            <w:bookmarkStart w:id="39" w:name="Title_8" w:colFirst="0" w:colLast="0"/>
            <w:r w:rsidRPr="00157E45">
              <w:rPr>
                <w:rFonts w:ascii="Arial" w:hAnsi="Arial" w:cs="Arial"/>
                <w:b/>
                <w:bCs/>
                <w:color w:val="000000" w:themeColor="text1"/>
                <w:sz w:val="22"/>
                <w:szCs w:val="22"/>
              </w:rPr>
              <w:t>Visitor type</w:t>
            </w:r>
          </w:p>
        </w:tc>
        <w:tc>
          <w:tcPr>
            <w:tcW w:w="2410" w:type="dxa"/>
            <w:shd w:val="clear" w:color="auto" w:fill="D9D9D9" w:themeFill="background1" w:themeFillShade="D9"/>
          </w:tcPr>
          <w:p w14:paraId="6D4A4F3E" w14:textId="2573754B" w:rsidR="0069415A" w:rsidRPr="00157E45" w:rsidRDefault="0069415A" w:rsidP="0069415A">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 xml:space="preserve">Growth rate </w:t>
            </w:r>
            <w:r w:rsidR="00AC3FCD" w:rsidRPr="00157E45">
              <w:rPr>
                <w:rFonts w:ascii="Arial" w:hAnsi="Arial" w:cs="Arial"/>
                <w:b/>
                <w:bCs/>
                <w:color w:val="000000" w:themeColor="text1"/>
                <w:sz w:val="22"/>
                <w:szCs w:val="22"/>
              </w:rPr>
              <w:t xml:space="preserve">from </w:t>
            </w:r>
            <w:r w:rsidR="00AF22E8" w:rsidRPr="00157E45">
              <w:rPr>
                <w:rFonts w:ascii="Arial" w:hAnsi="Arial" w:cs="Arial"/>
                <w:b/>
                <w:bCs/>
                <w:color w:val="000000" w:themeColor="text1"/>
                <w:sz w:val="22"/>
                <w:szCs w:val="22"/>
              </w:rPr>
              <w:t>202</w:t>
            </w:r>
            <w:r w:rsidR="005940EB" w:rsidRPr="00157E45">
              <w:rPr>
                <w:rFonts w:ascii="Arial" w:hAnsi="Arial" w:cs="Arial"/>
                <w:b/>
                <w:bCs/>
                <w:color w:val="000000" w:themeColor="text1"/>
                <w:sz w:val="22"/>
                <w:szCs w:val="22"/>
              </w:rPr>
              <w:t>4</w:t>
            </w:r>
            <w:r w:rsidR="00AC3FCD" w:rsidRPr="00157E45">
              <w:rPr>
                <w:rFonts w:ascii="Arial" w:hAnsi="Arial" w:cs="Arial"/>
                <w:b/>
                <w:bCs/>
                <w:color w:val="000000" w:themeColor="text1"/>
                <w:sz w:val="22"/>
                <w:szCs w:val="22"/>
              </w:rPr>
              <w:t xml:space="preserve"> </w:t>
            </w:r>
            <w:r w:rsidRPr="00157E45">
              <w:rPr>
                <w:rFonts w:ascii="Arial" w:hAnsi="Arial" w:cs="Arial"/>
                <w:b/>
                <w:bCs/>
                <w:color w:val="000000" w:themeColor="text1"/>
                <w:sz w:val="22"/>
                <w:szCs w:val="22"/>
              </w:rPr>
              <w:t>to 202</w:t>
            </w:r>
            <w:r w:rsidR="005940EB" w:rsidRPr="00157E45">
              <w:rPr>
                <w:rFonts w:ascii="Arial" w:hAnsi="Arial" w:cs="Arial"/>
                <w:b/>
                <w:bCs/>
                <w:color w:val="000000" w:themeColor="text1"/>
                <w:sz w:val="22"/>
                <w:szCs w:val="22"/>
              </w:rPr>
              <w:t>5</w:t>
            </w:r>
          </w:p>
        </w:tc>
        <w:tc>
          <w:tcPr>
            <w:tcW w:w="3118" w:type="dxa"/>
            <w:shd w:val="clear" w:color="auto" w:fill="D9D9D9" w:themeFill="background1" w:themeFillShade="D9"/>
          </w:tcPr>
          <w:p w14:paraId="56CEEDC4" w14:textId="550F1621" w:rsidR="0069415A" w:rsidRPr="00157E45" w:rsidRDefault="0069415A" w:rsidP="0069415A">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 xml:space="preserve">Average annual growth rate from </w:t>
            </w:r>
            <w:r w:rsidR="00AF22E8" w:rsidRPr="00157E45">
              <w:rPr>
                <w:rFonts w:ascii="Arial" w:hAnsi="Arial" w:cs="Arial"/>
                <w:b/>
                <w:bCs/>
                <w:color w:val="000000" w:themeColor="text1"/>
                <w:sz w:val="22"/>
                <w:szCs w:val="22"/>
              </w:rPr>
              <w:t>2024</w:t>
            </w:r>
            <w:r w:rsidRPr="00157E45">
              <w:rPr>
                <w:rFonts w:ascii="Arial" w:hAnsi="Arial" w:cs="Arial"/>
                <w:b/>
                <w:bCs/>
                <w:color w:val="000000" w:themeColor="text1"/>
                <w:sz w:val="22"/>
                <w:szCs w:val="22"/>
              </w:rPr>
              <w:t xml:space="preserve"> to </w:t>
            </w:r>
            <w:r w:rsidR="00AF22E8" w:rsidRPr="00157E45">
              <w:rPr>
                <w:rFonts w:ascii="Arial" w:hAnsi="Arial" w:cs="Arial"/>
                <w:b/>
                <w:bCs/>
                <w:color w:val="000000" w:themeColor="text1"/>
                <w:sz w:val="22"/>
                <w:szCs w:val="22"/>
              </w:rPr>
              <w:t>2029</w:t>
            </w:r>
          </w:p>
        </w:tc>
      </w:tr>
      <w:bookmarkEnd w:id="39"/>
      <w:tr w:rsidR="0069415A" w:rsidRPr="00157E45" w14:paraId="3BEC55BD" w14:textId="77777777" w:rsidTr="000A0C83">
        <w:trPr>
          <w:tblHeader/>
        </w:trPr>
        <w:tc>
          <w:tcPr>
            <w:tcW w:w="3539" w:type="dxa"/>
          </w:tcPr>
          <w:p w14:paraId="7EE1BAF1" w14:textId="6F5D846B" w:rsidR="0069415A" w:rsidRPr="00157E45" w:rsidRDefault="0069415A" w:rsidP="0069415A">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 xml:space="preserve">Total </w:t>
            </w:r>
            <w:r w:rsidR="00C452F1" w:rsidRPr="00157E45">
              <w:rPr>
                <w:rFonts w:ascii="Arial" w:hAnsi="Arial" w:cs="Arial"/>
                <w:b/>
                <w:bCs/>
                <w:color w:val="000000" w:themeColor="text1"/>
                <w:sz w:val="22"/>
                <w:szCs w:val="22"/>
              </w:rPr>
              <w:t xml:space="preserve">domestic </w:t>
            </w:r>
            <w:r w:rsidRPr="00157E45">
              <w:rPr>
                <w:rFonts w:ascii="Arial" w:hAnsi="Arial" w:cs="Arial"/>
                <w:b/>
                <w:bCs/>
                <w:color w:val="000000" w:themeColor="text1"/>
                <w:sz w:val="22"/>
                <w:szCs w:val="22"/>
              </w:rPr>
              <w:t>visitor nights</w:t>
            </w:r>
          </w:p>
        </w:tc>
        <w:tc>
          <w:tcPr>
            <w:tcW w:w="2410" w:type="dxa"/>
          </w:tcPr>
          <w:p w14:paraId="34CD98D3" w14:textId="6DE8EA1B"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0A0C83" w:rsidRPr="00157E45">
              <w:rPr>
                <w:rFonts w:ascii="Arial" w:hAnsi="Arial" w:cs="Arial"/>
                <w:color w:val="000000" w:themeColor="text1"/>
                <w:sz w:val="22"/>
                <w:szCs w:val="22"/>
              </w:rPr>
              <w:t>1</w:t>
            </w:r>
            <w:r w:rsidR="008F4A76" w:rsidRPr="00157E45">
              <w:rPr>
                <w:rFonts w:ascii="Arial" w:hAnsi="Arial" w:cs="Arial"/>
                <w:color w:val="000000" w:themeColor="text1"/>
                <w:sz w:val="22"/>
                <w:szCs w:val="22"/>
              </w:rPr>
              <w:t>.</w:t>
            </w:r>
            <w:r w:rsidR="000A0C83" w:rsidRPr="00157E45">
              <w:rPr>
                <w:rFonts w:ascii="Arial" w:hAnsi="Arial" w:cs="Arial"/>
                <w:color w:val="000000" w:themeColor="text1"/>
                <w:sz w:val="22"/>
                <w:szCs w:val="22"/>
              </w:rPr>
              <w:t>4</w:t>
            </w:r>
            <w:r w:rsidRPr="00157E45">
              <w:rPr>
                <w:rFonts w:ascii="Arial" w:hAnsi="Arial" w:cs="Arial"/>
                <w:color w:val="000000" w:themeColor="text1"/>
                <w:sz w:val="22"/>
                <w:szCs w:val="22"/>
              </w:rPr>
              <w:t>%</w:t>
            </w:r>
          </w:p>
        </w:tc>
        <w:tc>
          <w:tcPr>
            <w:tcW w:w="3118" w:type="dxa"/>
          </w:tcPr>
          <w:p w14:paraId="4E6CB86F" w14:textId="666BB8E8"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0A0C83" w:rsidRPr="00157E45">
              <w:rPr>
                <w:rFonts w:ascii="Arial" w:hAnsi="Arial" w:cs="Arial"/>
                <w:color w:val="000000" w:themeColor="text1"/>
                <w:sz w:val="22"/>
                <w:szCs w:val="22"/>
              </w:rPr>
              <w:t>3.4</w:t>
            </w:r>
            <w:r w:rsidRPr="00157E45">
              <w:rPr>
                <w:rFonts w:ascii="Arial" w:hAnsi="Arial" w:cs="Arial"/>
                <w:color w:val="000000" w:themeColor="text1"/>
                <w:sz w:val="22"/>
                <w:szCs w:val="22"/>
              </w:rPr>
              <w:t>% per annum</w:t>
            </w:r>
          </w:p>
        </w:tc>
      </w:tr>
      <w:tr w:rsidR="0069415A" w:rsidRPr="00157E45" w14:paraId="3799557A" w14:textId="77777777" w:rsidTr="000A0C83">
        <w:tc>
          <w:tcPr>
            <w:tcW w:w="3539" w:type="dxa"/>
          </w:tcPr>
          <w:p w14:paraId="74A1FE36" w14:textId="43D5B179" w:rsidR="0069415A" w:rsidRPr="00157E45" w:rsidRDefault="00C452F1" w:rsidP="0069415A">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Holiday visitor nights</w:t>
            </w:r>
          </w:p>
        </w:tc>
        <w:tc>
          <w:tcPr>
            <w:tcW w:w="2410" w:type="dxa"/>
          </w:tcPr>
          <w:p w14:paraId="05A2538F" w14:textId="2C308931"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0A0C83" w:rsidRPr="00157E45">
              <w:rPr>
                <w:rFonts w:ascii="Arial" w:hAnsi="Arial" w:cs="Arial"/>
                <w:color w:val="000000" w:themeColor="text1"/>
                <w:sz w:val="22"/>
                <w:szCs w:val="22"/>
              </w:rPr>
              <w:t>0</w:t>
            </w:r>
            <w:r w:rsidR="000A2EBC" w:rsidRPr="00157E45">
              <w:rPr>
                <w:rFonts w:ascii="Arial" w:hAnsi="Arial" w:cs="Arial"/>
                <w:color w:val="000000" w:themeColor="text1"/>
                <w:sz w:val="22"/>
                <w:szCs w:val="22"/>
              </w:rPr>
              <w:t>.</w:t>
            </w:r>
            <w:r w:rsidR="000A0C83" w:rsidRPr="00157E45">
              <w:rPr>
                <w:rFonts w:ascii="Arial" w:hAnsi="Arial" w:cs="Arial"/>
                <w:color w:val="000000" w:themeColor="text1"/>
                <w:sz w:val="22"/>
                <w:szCs w:val="22"/>
              </w:rPr>
              <w:t>8</w:t>
            </w:r>
            <w:r w:rsidRPr="00157E45">
              <w:rPr>
                <w:rFonts w:ascii="Arial" w:hAnsi="Arial" w:cs="Arial"/>
              </w:rPr>
              <w:t>%</w:t>
            </w:r>
          </w:p>
        </w:tc>
        <w:tc>
          <w:tcPr>
            <w:tcW w:w="3118" w:type="dxa"/>
          </w:tcPr>
          <w:p w14:paraId="3F6C44D4" w14:textId="5BD00243"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w:t>
            </w:r>
            <w:r w:rsidR="000A2EBC" w:rsidRPr="00157E45">
              <w:rPr>
                <w:rFonts w:ascii="Arial" w:hAnsi="Arial" w:cs="Arial"/>
                <w:color w:val="000000" w:themeColor="text1"/>
                <w:sz w:val="22"/>
                <w:szCs w:val="22"/>
              </w:rPr>
              <w:t xml:space="preserve"> </w:t>
            </w:r>
            <w:r w:rsidR="000A0C83" w:rsidRPr="00157E45">
              <w:rPr>
                <w:rFonts w:ascii="Arial" w:hAnsi="Arial" w:cs="Arial"/>
                <w:color w:val="000000" w:themeColor="text1"/>
                <w:sz w:val="22"/>
                <w:szCs w:val="22"/>
              </w:rPr>
              <w:t>2.6</w:t>
            </w:r>
            <w:r w:rsidRPr="00157E45">
              <w:rPr>
                <w:rFonts w:ascii="Arial" w:hAnsi="Arial" w:cs="Arial"/>
              </w:rPr>
              <w:t>% per annum</w:t>
            </w:r>
          </w:p>
        </w:tc>
      </w:tr>
      <w:tr w:rsidR="0069415A" w:rsidRPr="00157E45" w14:paraId="6DB48267" w14:textId="77777777" w:rsidTr="000A0C83">
        <w:tc>
          <w:tcPr>
            <w:tcW w:w="3539" w:type="dxa"/>
          </w:tcPr>
          <w:p w14:paraId="107108B5" w14:textId="51F0A567" w:rsidR="0069415A" w:rsidRPr="00157E45" w:rsidRDefault="00C452F1" w:rsidP="0069415A">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Visiting friends and relatives</w:t>
            </w:r>
            <w:r w:rsidR="00240225" w:rsidRPr="00157E45">
              <w:rPr>
                <w:rFonts w:ascii="Arial" w:hAnsi="Arial" w:cs="Arial"/>
                <w:b/>
                <w:bCs/>
                <w:color w:val="000000" w:themeColor="text1"/>
                <w:sz w:val="22"/>
                <w:szCs w:val="22"/>
              </w:rPr>
              <w:t xml:space="preserve"> visitor nights</w:t>
            </w:r>
          </w:p>
        </w:tc>
        <w:tc>
          <w:tcPr>
            <w:tcW w:w="2410" w:type="dxa"/>
          </w:tcPr>
          <w:p w14:paraId="5B67C3FF" w14:textId="2D9530CE"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0A0C83" w:rsidRPr="00157E45">
              <w:rPr>
                <w:rFonts w:ascii="Arial" w:hAnsi="Arial" w:cs="Arial"/>
                <w:color w:val="000000" w:themeColor="text1"/>
              </w:rPr>
              <w:t>1</w:t>
            </w:r>
            <w:r w:rsidRPr="00157E45">
              <w:rPr>
                <w:rFonts w:ascii="Arial" w:hAnsi="Arial" w:cs="Arial"/>
                <w:color w:val="000000" w:themeColor="text1"/>
              </w:rPr>
              <w:t>.</w:t>
            </w:r>
            <w:r w:rsidR="000A0C83" w:rsidRPr="00157E45">
              <w:rPr>
                <w:rFonts w:ascii="Arial" w:hAnsi="Arial" w:cs="Arial"/>
                <w:color w:val="000000" w:themeColor="text1"/>
              </w:rPr>
              <w:t>4</w:t>
            </w:r>
            <w:r w:rsidRPr="00157E45">
              <w:rPr>
                <w:rFonts w:ascii="Arial" w:hAnsi="Arial" w:cs="Arial"/>
              </w:rPr>
              <w:t>%</w:t>
            </w:r>
          </w:p>
        </w:tc>
        <w:tc>
          <w:tcPr>
            <w:tcW w:w="3118" w:type="dxa"/>
          </w:tcPr>
          <w:p w14:paraId="36D6E8FA" w14:textId="0FA585E1"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0A0C83" w:rsidRPr="00157E45">
              <w:rPr>
                <w:rFonts w:ascii="Arial" w:hAnsi="Arial" w:cs="Arial"/>
                <w:color w:val="000000" w:themeColor="text1"/>
                <w:sz w:val="22"/>
                <w:szCs w:val="22"/>
              </w:rPr>
              <w:t>3.1</w:t>
            </w:r>
            <w:r w:rsidRPr="00157E45">
              <w:rPr>
                <w:rFonts w:ascii="Arial" w:hAnsi="Arial" w:cs="Arial"/>
                <w:color w:val="000000" w:themeColor="text1"/>
                <w:sz w:val="22"/>
                <w:szCs w:val="22"/>
              </w:rPr>
              <w:t>% per annum</w:t>
            </w:r>
          </w:p>
        </w:tc>
      </w:tr>
      <w:tr w:rsidR="0069415A" w:rsidRPr="00157E45" w14:paraId="597D7CF8" w14:textId="77777777" w:rsidTr="000A0C83">
        <w:tc>
          <w:tcPr>
            <w:tcW w:w="3539" w:type="dxa"/>
          </w:tcPr>
          <w:p w14:paraId="40FBA37A" w14:textId="520B95A3" w:rsidR="0069415A" w:rsidRPr="00157E45" w:rsidRDefault="00240225" w:rsidP="0069415A">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Business visitor nights</w:t>
            </w:r>
          </w:p>
        </w:tc>
        <w:tc>
          <w:tcPr>
            <w:tcW w:w="2410" w:type="dxa"/>
          </w:tcPr>
          <w:p w14:paraId="10BB551E" w14:textId="260AC0C0"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0A0C83" w:rsidRPr="00157E45">
              <w:rPr>
                <w:rFonts w:ascii="Arial" w:hAnsi="Arial" w:cs="Arial"/>
                <w:color w:val="000000" w:themeColor="text1"/>
                <w:sz w:val="22"/>
                <w:szCs w:val="22"/>
              </w:rPr>
              <w:t>3</w:t>
            </w:r>
            <w:r w:rsidR="00282656" w:rsidRPr="00157E45">
              <w:rPr>
                <w:rFonts w:ascii="Arial" w:hAnsi="Arial" w:cs="Arial"/>
                <w:color w:val="000000" w:themeColor="text1"/>
                <w:sz w:val="22"/>
                <w:szCs w:val="22"/>
              </w:rPr>
              <w:t>.</w:t>
            </w:r>
            <w:r w:rsidR="000A0C83" w:rsidRPr="00157E45">
              <w:rPr>
                <w:rFonts w:ascii="Arial" w:hAnsi="Arial" w:cs="Arial"/>
                <w:color w:val="000000" w:themeColor="text1"/>
                <w:sz w:val="22"/>
                <w:szCs w:val="22"/>
              </w:rPr>
              <w:t>0</w:t>
            </w:r>
            <w:r w:rsidRPr="00157E45">
              <w:rPr>
                <w:rFonts w:ascii="Arial" w:hAnsi="Arial" w:cs="Arial"/>
              </w:rPr>
              <w:t>%</w:t>
            </w:r>
          </w:p>
        </w:tc>
        <w:tc>
          <w:tcPr>
            <w:tcW w:w="3118" w:type="dxa"/>
          </w:tcPr>
          <w:p w14:paraId="7DBD128C" w14:textId="216EC9F7" w:rsidR="0069415A" w:rsidRPr="00157E45" w:rsidRDefault="0069415A" w:rsidP="0069415A">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0A0C83" w:rsidRPr="00157E45">
              <w:rPr>
                <w:rFonts w:ascii="Arial" w:hAnsi="Arial" w:cs="Arial"/>
                <w:color w:val="000000" w:themeColor="text1"/>
                <w:sz w:val="22"/>
                <w:szCs w:val="22"/>
              </w:rPr>
              <w:t>6.0</w:t>
            </w:r>
            <w:r w:rsidRPr="00157E45">
              <w:rPr>
                <w:rFonts w:ascii="Arial" w:hAnsi="Arial" w:cs="Arial"/>
                <w:color w:val="000000" w:themeColor="text1"/>
                <w:sz w:val="22"/>
                <w:szCs w:val="22"/>
              </w:rPr>
              <w:t>% per annum</w:t>
            </w:r>
          </w:p>
        </w:tc>
      </w:tr>
      <w:tr w:rsidR="008F4A76" w:rsidRPr="00157E45" w14:paraId="6C1F0993" w14:textId="77777777" w:rsidTr="000A0C83">
        <w:tc>
          <w:tcPr>
            <w:tcW w:w="3539" w:type="dxa"/>
          </w:tcPr>
          <w:p w14:paraId="38C72AF4" w14:textId="245FEC81" w:rsidR="008F4A76" w:rsidRPr="00157E45" w:rsidRDefault="008F4A76" w:rsidP="008F4A76">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Other visitor nights</w:t>
            </w:r>
          </w:p>
        </w:tc>
        <w:tc>
          <w:tcPr>
            <w:tcW w:w="2410" w:type="dxa"/>
          </w:tcPr>
          <w:p w14:paraId="4BC7B6AB" w14:textId="7F60E420" w:rsidR="008F4A76" w:rsidRPr="00157E45" w:rsidRDefault="008F4A76" w:rsidP="008F4A76">
            <w:pPr>
              <w:spacing w:after="120" w:line="240" w:lineRule="auto"/>
              <w:rPr>
                <w:rFonts w:ascii="Arial" w:hAnsi="Arial" w:cs="Arial"/>
                <w:color w:val="000000" w:themeColor="text1"/>
                <w:sz w:val="22"/>
                <w:szCs w:val="22"/>
              </w:rPr>
            </w:pPr>
            <w:r w:rsidRPr="00157E45">
              <w:rPr>
                <w:rFonts w:ascii="Arial" w:hAnsi="Arial" w:cs="Arial"/>
              </w:rPr>
              <w:t xml:space="preserve">Increase of </w:t>
            </w:r>
            <w:r w:rsidR="000A0C83" w:rsidRPr="00157E45">
              <w:rPr>
                <w:rFonts w:ascii="Arial" w:hAnsi="Arial" w:cs="Arial"/>
              </w:rPr>
              <w:t>1</w:t>
            </w:r>
            <w:r w:rsidR="00282656" w:rsidRPr="00157E45">
              <w:rPr>
                <w:rFonts w:ascii="Arial" w:hAnsi="Arial" w:cs="Arial"/>
              </w:rPr>
              <w:t>.</w:t>
            </w:r>
            <w:r w:rsidR="000A0C83" w:rsidRPr="00157E45">
              <w:rPr>
                <w:rFonts w:ascii="Arial" w:hAnsi="Arial" w:cs="Arial"/>
              </w:rPr>
              <w:t>2</w:t>
            </w:r>
            <w:r w:rsidRPr="00157E45">
              <w:rPr>
                <w:rFonts w:ascii="Arial" w:hAnsi="Arial" w:cs="Arial"/>
              </w:rPr>
              <w:t>%</w:t>
            </w:r>
          </w:p>
        </w:tc>
        <w:tc>
          <w:tcPr>
            <w:tcW w:w="3118" w:type="dxa"/>
          </w:tcPr>
          <w:p w14:paraId="47B7AAC4" w14:textId="763AEBF6" w:rsidR="008F4A76" w:rsidRPr="00157E45" w:rsidRDefault="008F4A76" w:rsidP="008F4A76">
            <w:pPr>
              <w:spacing w:after="120" w:line="240" w:lineRule="auto"/>
              <w:rPr>
                <w:rFonts w:ascii="Arial" w:hAnsi="Arial" w:cs="Arial"/>
                <w:color w:val="000000" w:themeColor="text1"/>
                <w:sz w:val="22"/>
                <w:szCs w:val="22"/>
              </w:rPr>
            </w:pPr>
            <w:r w:rsidRPr="00157E45">
              <w:rPr>
                <w:rFonts w:ascii="Arial" w:hAnsi="Arial" w:cs="Arial"/>
              </w:rPr>
              <w:t xml:space="preserve">Increase of </w:t>
            </w:r>
            <w:r w:rsidR="000A0C83" w:rsidRPr="00157E45">
              <w:rPr>
                <w:rFonts w:ascii="Arial" w:hAnsi="Arial" w:cs="Arial"/>
              </w:rPr>
              <w:t>2.7</w:t>
            </w:r>
            <w:r w:rsidRPr="00157E45">
              <w:rPr>
                <w:rFonts w:ascii="Arial" w:hAnsi="Arial" w:cs="Arial"/>
              </w:rPr>
              <w:t>% per annum</w:t>
            </w:r>
          </w:p>
        </w:tc>
      </w:tr>
    </w:tbl>
    <w:p w14:paraId="609649A1" w14:textId="0BBA36DB" w:rsidR="002073F4" w:rsidRPr="00157E45" w:rsidRDefault="005940EB" w:rsidP="00613278">
      <w:pPr>
        <w:pStyle w:val="Heading1"/>
        <w:rPr>
          <w:rFonts w:ascii="Arial" w:hAnsi="Arial" w:cs="Arial"/>
        </w:rPr>
      </w:pPr>
      <w:bookmarkStart w:id="40" w:name="_Toc184116525"/>
      <w:r w:rsidRPr="00157E45">
        <w:rPr>
          <w:rFonts w:ascii="Arial" w:hAnsi="Arial" w:cs="Arial"/>
        </w:rPr>
        <w:lastRenderedPageBreak/>
        <w:t xml:space="preserve">7.0 </w:t>
      </w:r>
      <w:r w:rsidR="002073F4" w:rsidRPr="00157E45">
        <w:rPr>
          <w:rFonts w:ascii="Arial" w:hAnsi="Arial" w:cs="Arial"/>
        </w:rPr>
        <w:t>Domestic night forecasts across jurisdictions</w:t>
      </w:r>
      <w:bookmarkEnd w:id="40"/>
    </w:p>
    <w:p w14:paraId="7CB60C16" w14:textId="77777777" w:rsidR="00B8732F" w:rsidRPr="00157E45" w:rsidRDefault="00B8732F" w:rsidP="00B8732F">
      <w:pPr>
        <w:rPr>
          <w:rFonts w:ascii="Arial" w:hAnsi="Arial" w:cs="Arial"/>
          <w:color w:val="000000" w:themeColor="text1"/>
          <w:sz w:val="4"/>
          <w:szCs w:val="4"/>
        </w:rPr>
      </w:pPr>
    </w:p>
    <w:p w14:paraId="5D355F5F" w14:textId="258865CC" w:rsidR="00F92B84" w:rsidRPr="00157E45" w:rsidRDefault="00EA4A4F"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Nationally, domestic overnight trips are projected to see a slight increase in 2024, however, the average length of stay is expected to shorten, leading to a decline in nights as visitors seek to reduce costs</w:t>
      </w:r>
      <w:r w:rsidR="00AE7E24" w:rsidRPr="00157E45">
        <w:rPr>
          <w:rFonts w:ascii="Arial" w:hAnsi="Arial" w:cs="Arial"/>
          <w:color w:val="000000" w:themeColor="text1"/>
          <w:sz w:val="22"/>
          <w:szCs w:val="22"/>
        </w:rPr>
        <w:t>.</w:t>
      </w:r>
    </w:p>
    <w:p w14:paraId="034F92DD" w14:textId="7FCED67A" w:rsidR="00613278" w:rsidRPr="00157E45" w:rsidRDefault="0077474D"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Domestic visitor nights are forecast to decline in 2024 in Victoria, NSW, SA, WA, and ACT, with modest growth anticipated in 2025. This reflects rising outbound travel and economic volatility affecting household spending</w:t>
      </w:r>
      <w:r w:rsidR="00AE7E24" w:rsidRPr="00157E45">
        <w:rPr>
          <w:rFonts w:ascii="Arial" w:hAnsi="Arial" w:cs="Arial"/>
          <w:color w:val="000000" w:themeColor="text1"/>
          <w:sz w:val="22"/>
          <w:szCs w:val="22"/>
        </w:rPr>
        <w:t>.</w:t>
      </w:r>
    </w:p>
    <w:p w14:paraId="53583FFE" w14:textId="1FA07043" w:rsidR="0077474D" w:rsidRPr="00157E45" w:rsidRDefault="001F62D5"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In Victoria, domestic visitor nights are expected to return to 2019 levels by the end of 2026, with an average annual growth rate of 3.4% over the next five years, in line with NSW and the national growth rate.</w:t>
      </w:r>
    </w:p>
    <w:p w14:paraId="60A9C722" w14:textId="4B02114D" w:rsidR="0051196B" w:rsidRPr="00157E45" w:rsidRDefault="00671D51" w:rsidP="00F46E8C">
      <w:pPr>
        <w:rPr>
          <w:rFonts w:ascii="Arial" w:hAnsi="Arial" w:cs="Arial"/>
          <w:color w:val="000000" w:themeColor="text1"/>
          <w:sz w:val="22"/>
          <w:szCs w:val="22"/>
        </w:rPr>
      </w:pPr>
      <w:r w:rsidRPr="00157E45">
        <w:rPr>
          <w:rFonts w:ascii="Arial" w:hAnsi="Arial" w:cs="Arial"/>
          <w:color w:val="000000" w:themeColor="text1"/>
          <w:sz w:val="22"/>
          <w:szCs w:val="22"/>
        </w:rPr>
        <w:t xml:space="preserve">In </w:t>
      </w:r>
      <w:r w:rsidR="00AF22E8" w:rsidRPr="00157E45">
        <w:rPr>
          <w:rFonts w:ascii="Arial" w:hAnsi="Arial" w:cs="Arial"/>
          <w:color w:val="000000" w:themeColor="text1"/>
          <w:sz w:val="22"/>
          <w:szCs w:val="22"/>
        </w:rPr>
        <w:t>2029</w:t>
      </w:r>
      <w:r w:rsidRPr="00157E45">
        <w:rPr>
          <w:rFonts w:ascii="Arial" w:hAnsi="Arial" w:cs="Arial"/>
          <w:color w:val="000000" w:themeColor="text1"/>
          <w:sz w:val="22"/>
          <w:szCs w:val="22"/>
        </w:rPr>
        <w:t xml:space="preserve"> each jurisdiction is forecast to have </w:t>
      </w:r>
      <w:r w:rsidR="0051196B" w:rsidRPr="00157E45">
        <w:rPr>
          <w:rFonts w:ascii="Arial" w:hAnsi="Arial" w:cs="Arial"/>
          <w:color w:val="000000" w:themeColor="text1"/>
          <w:sz w:val="22"/>
          <w:szCs w:val="22"/>
        </w:rPr>
        <w:t>the following share</w:t>
      </w:r>
      <w:r w:rsidR="000003E3" w:rsidRPr="00157E45">
        <w:rPr>
          <w:rFonts w:ascii="Arial" w:hAnsi="Arial" w:cs="Arial"/>
          <w:color w:val="000000" w:themeColor="text1"/>
          <w:sz w:val="22"/>
          <w:szCs w:val="22"/>
        </w:rPr>
        <w:t>s</w:t>
      </w:r>
      <w:r w:rsidR="0051196B" w:rsidRPr="00157E45">
        <w:rPr>
          <w:rFonts w:ascii="Arial" w:hAnsi="Arial" w:cs="Arial"/>
          <w:color w:val="000000" w:themeColor="text1"/>
          <w:sz w:val="22"/>
          <w:szCs w:val="22"/>
        </w:rPr>
        <w:t xml:space="preserve"> of domestic visitor nights:</w:t>
      </w:r>
    </w:p>
    <w:p w14:paraId="4C54A35B" w14:textId="671DA9D8" w:rsidR="00642416" w:rsidRPr="00157E45" w:rsidRDefault="00C67DC3"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New South Wales</w:t>
      </w:r>
      <w:r w:rsidR="008F22F6" w:rsidRPr="00157E45">
        <w:rPr>
          <w:rFonts w:ascii="Arial" w:hAnsi="Arial" w:cs="Arial"/>
          <w:color w:val="000000" w:themeColor="text1"/>
          <w:sz w:val="22"/>
          <w:szCs w:val="22"/>
        </w:rPr>
        <w:t xml:space="preserve"> </w:t>
      </w:r>
      <w:r w:rsidRPr="00157E45">
        <w:rPr>
          <w:rFonts w:ascii="Arial" w:hAnsi="Arial" w:cs="Arial"/>
          <w:color w:val="000000" w:themeColor="text1"/>
          <w:sz w:val="22"/>
          <w:szCs w:val="22"/>
        </w:rPr>
        <w:t>29%</w:t>
      </w:r>
      <w:r w:rsidR="008F22F6" w:rsidRPr="00157E45">
        <w:rPr>
          <w:rFonts w:ascii="Arial" w:hAnsi="Arial" w:cs="Arial"/>
          <w:color w:val="000000" w:themeColor="text1"/>
          <w:sz w:val="22"/>
          <w:szCs w:val="22"/>
        </w:rPr>
        <w:t xml:space="preserve"> share</w:t>
      </w:r>
    </w:p>
    <w:p w14:paraId="5FF5CDD8" w14:textId="78099EE1" w:rsidR="00642416" w:rsidRPr="00157E45" w:rsidRDefault="006C069B"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Queensland</w:t>
      </w:r>
      <w:r w:rsidR="00C67DC3" w:rsidRPr="00157E45">
        <w:rPr>
          <w:rFonts w:ascii="Arial" w:hAnsi="Arial" w:cs="Arial"/>
          <w:color w:val="000000" w:themeColor="text1"/>
          <w:sz w:val="22"/>
          <w:szCs w:val="22"/>
        </w:rPr>
        <w:t xml:space="preserve"> 25%</w:t>
      </w:r>
      <w:r w:rsidR="00441D79" w:rsidRPr="00157E45">
        <w:rPr>
          <w:rFonts w:ascii="Arial" w:hAnsi="Arial" w:cs="Arial"/>
          <w:color w:val="000000" w:themeColor="text1"/>
          <w:sz w:val="22"/>
          <w:szCs w:val="22"/>
        </w:rPr>
        <w:t xml:space="preserve"> share</w:t>
      </w:r>
    </w:p>
    <w:p w14:paraId="54584237" w14:textId="24210EA8" w:rsidR="00642416" w:rsidRPr="00157E45" w:rsidRDefault="00C67DC3"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Victoria</w:t>
      </w:r>
      <w:r w:rsidR="00441D79" w:rsidRPr="00157E45">
        <w:rPr>
          <w:rFonts w:ascii="Arial" w:hAnsi="Arial" w:cs="Arial"/>
          <w:color w:val="000000" w:themeColor="text1"/>
          <w:sz w:val="22"/>
          <w:szCs w:val="22"/>
        </w:rPr>
        <w:t xml:space="preserve"> </w:t>
      </w:r>
      <w:r w:rsidRPr="00157E45">
        <w:rPr>
          <w:rFonts w:ascii="Arial" w:hAnsi="Arial" w:cs="Arial"/>
          <w:color w:val="000000" w:themeColor="text1"/>
          <w:sz w:val="22"/>
          <w:szCs w:val="22"/>
        </w:rPr>
        <w:t xml:space="preserve">20% </w:t>
      </w:r>
      <w:r w:rsidR="00441D79" w:rsidRPr="00157E45">
        <w:rPr>
          <w:rFonts w:ascii="Arial" w:hAnsi="Arial" w:cs="Arial"/>
          <w:color w:val="000000" w:themeColor="text1"/>
          <w:sz w:val="22"/>
          <w:szCs w:val="22"/>
        </w:rPr>
        <w:t>share</w:t>
      </w:r>
    </w:p>
    <w:p w14:paraId="0EEEB0B7" w14:textId="37DA87E4" w:rsidR="003074AF" w:rsidRPr="00157E45" w:rsidRDefault="006C069B"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Western Australia</w:t>
      </w:r>
      <w:r w:rsidR="00441D79" w:rsidRPr="00157E45">
        <w:rPr>
          <w:rFonts w:ascii="Arial" w:hAnsi="Arial" w:cs="Arial"/>
          <w:color w:val="000000" w:themeColor="text1"/>
          <w:sz w:val="22"/>
          <w:szCs w:val="22"/>
        </w:rPr>
        <w:t xml:space="preserve"> </w:t>
      </w:r>
      <w:r w:rsidRPr="00157E45">
        <w:rPr>
          <w:rFonts w:ascii="Arial" w:hAnsi="Arial" w:cs="Arial"/>
          <w:color w:val="000000" w:themeColor="text1"/>
          <w:sz w:val="22"/>
          <w:szCs w:val="22"/>
        </w:rPr>
        <w:t xml:space="preserve">12% </w:t>
      </w:r>
      <w:r w:rsidR="00441D79" w:rsidRPr="00157E45">
        <w:rPr>
          <w:rFonts w:ascii="Arial" w:hAnsi="Arial" w:cs="Arial"/>
          <w:color w:val="000000" w:themeColor="text1"/>
          <w:sz w:val="22"/>
          <w:szCs w:val="22"/>
        </w:rPr>
        <w:t>share</w:t>
      </w:r>
    </w:p>
    <w:p w14:paraId="1AA54719" w14:textId="60A452B0" w:rsidR="003074AF" w:rsidRPr="00157E45" w:rsidRDefault="006C069B"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South Australia 6%</w:t>
      </w:r>
      <w:r w:rsidR="003074AF" w:rsidRPr="00157E45">
        <w:rPr>
          <w:rFonts w:ascii="Arial" w:hAnsi="Arial" w:cs="Arial"/>
          <w:color w:val="000000" w:themeColor="text1"/>
          <w:sz w:val="22"/>
          <w:szCs w:val="22"/>
        </w:rPr>
        <w:t xml:space="preserve"> share</w:t>
      </w:r>
    </w:p>
    <w:p w14:paraId="1B2E4457" w14:textId="233C12AF" w:rsidR="003074AF" w:rsidRPr="00157E45" w:rsidRDefault="00441D79"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Tasmania 3%</w:t>
      </w:r>
      <w:r w:rsidR="0012212A" w:rsidRPr="00157E45">
        <w:rPr>
          <w:rFonts w:ascii="Arial" w:hAnsi="Arial" w:cs="Arial"/>
          <w:color w:val="000000" w:themeColor="text1"/>
          <w:sz w:val="22"/>
          <w:szCs w:val="22"/>
        </w:rPr>
        <w:t xml:space="preserve"> </w:t>
      </w:r>
      <w:r w:rsidR="003074AF" w:rsidRPr="00157E45">
        <w:rPr>
          <w:rFonts w:ascii="Arial" w:hAnsi="Arial" w:cs="Arial"/>
          <w:color w:val="000000" w:themeColor="text1"/>
          <w:sz w:val="22"/>
          <w:szCs w:val="22"/>
        </w:rPr>
        <w:t>share</w:t>
      </w:r>
    </w:p>
    <w:p w14:paraId="04C93904" w14:textId="20351F92" w:rsidR="000003E3" w:rsidRPr="00157E45" w:rsidRDefault="00441D79"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 xml:space="preserve">Australian Capital </w:t>
      </w:r>
      <w:r w:rsidR="0012212A" w:rsidRPr="00157E45">
        <w:rPr>
          <w:rFonts w:ascii="Arial" w:hAnsi="Arial" w:cs="Arial"/>
          <w:color w:val="000000" w:themeColor="text1"/>
          <w:sz w:val="22"/>
          <w:szCs w:val="22"/>
        </w:rPr>
        <w:t>Territory</w:t>
      </w:r>
      <w:r w:rsidRPr="00157E45">
        <w:rPr>
          <w:rFonts w:ascii="Arial" w:hAnsi="Arial" w:cs="Arial"/>
          <w:color w:val="000000" w:themeColor="text1"/>
          <w:sz w:val="22"/>
          <w:szCs w:val="22"/>
        </w:rPr>
        <w:t xml:space="preserve"> </w:t>
      </w:r>
      <w:r w:rsidR="000003E3" w:rsidRPr="00157E45">
        <w:rPr>
          <w:rFonts w:ascii="Arial" w:hAnsi="Arial" w:cs="Arial"/>
          <w:color w:val="000000" w:themeColor="text1"/>
          <w:sz w:val="22"/>
          <w:szCs w:val="22"/>
        </w:rPr>
        <w:t>2% share</w:t>
      </w:r>
    </w:p>
    <w:p w14:paraId="3B402FC8" w14:textId="52A57A45" w:rsidR="00E037AB" w:rsidRPr="00157E45" w:rsidRDefault="00441D79" w:rsidP="00AE7E24">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Northern</w:t>
      </w:r>
      <w:r w:rsidR="006C069B" w:rsidRPr="00157E45">
        <w:rPr>
          <w:rFonts w:ascii="Arial" w:hAnsi="Arial" w:cs="Arial"/>
          <w:color w:val="000000" w:themeColor="text1"/>
          <w:sz w:val="22"/>
          <w:szCs w:val="22"/>
        </w:rPr>
        <w:t xml:space="preserve"> </w:t>
      </w:r>
      <w:r w:rsidR="0012212A" w:rsidRPr="00157E45">
        <w:rPr>
          <w:rFonts w:ascii="Arial" w:hAnsi="Arial" w:cs="Arial"/>
          <w:color w:val="000000" w:themeColor="text1"/>
          <w:sz w:val="22"/>
          <w:szCs w:val="22"/>
        </w:rPr>
        <w:t>Territory 2% share.</w:t>
      </w:r>
    </w:p>
    <w:p w14:paraId="2BB8E07B" w14:textId="7807CDCB" w:rsidR="0085353B" w:rsidRPr="00157E45" w:rsidRDefault="005940EB" w:rsidP="0085353B">
      <w:pPr>
        <w:pStyle w:val="Heading2"/>
        <w:spacing w:before="80" w:line="240" w:lineRule="auto"/>
        <w:rPr>
          <w:rFonts w:ascii="Arial" w:hAnsi="Arial" w:cs="Arial"/>
          <w:color w:val="002060"/>
        </w:rPr>
      </w:pPr>
      <w:bookmarkStart w:id="41" w:name="_Toc184116526"/>
      <w:r w:rsidRPr="00157E45">
        <w:rPr>
          <w:rFonts w:ascii="Arial" w:hAnsi="Arial" w:cs="Arial"/>
          <w:color w:val="002060"/>
        </w:rPr>
        <w:t xml:space="preserve">7.1 </w:t>
      </w:r>
      <w:r w:rsidR="003A536D" w:rsidRPr="00157E45">
        <w:rPr>
          <w:rFonts w:ascii="Arial" w:hAnsi="Arial" w:cs="Arial"/>
          <w:color w:val="002060"/>
        </w:rPr>
        <w:t>Data table: Forecast growth rates for domestic visitor nights by jurisdiction</w:t>
      </w:r>
      <w:bookmarkEnd w:id="41"/>
    </w:p>
    <w:p w14:paraId="7C270BDB" w14:textId="3DDC67DB" w:rsidR="00340B34" w:rsidRPr="00157E45" w:rsidRDefault="00340B34" w:rsidP="0085353B">
      <w:pPr>
        <w:spacing w:before="120" w:after="120" w:line="240" w:lineRule="auto"/>
        <w:rPr>
          <w:rFonts w:ascii="Arial" w:hAnsi="Arial" w:cs="Arial"/>
          <w:sz w:val="22"/>
          <w:szCs w:val="22"/>
        </w:rPr>
      </w:pPr>
      <w:r w:rsidRPr="00157E45">
        <w:rPr>
          <w:rFonts w:ascii="Arial" w:hAnsi="Arial" w:cs="Arial"/>
          <w:sz w:val="22"/>
          <w:szCs w:val="22"/>
        </w:rPr>
        <w:t xml:space="preserve">For each </w:t>
      </w:r>
      <w:r w:rsidR="00400258" w:rsidRPr="00157E45">
        <w:rPr>
          <w:rFonts w:ascii="Arial" w:hAnsi="Arial" w:cs="Arial"/>
          <w:sz w:val="22"/>
          <w:szCs w:val="22"/>
        </w:rPr>
        <w:t>Australian state and territory</w:t>
      </w:r>
      <w:r w:rsidRPr="00157E45">
        <w:rPr>
          <w:rFonts w:ascii="Arial" w:hAnsi="Arial" w:cs="Arial"/>
          <w:sz w:val="22"/>
          <w:szCs w:val="22"/>
        </w:rPr>
        <w:t xml:space="preserve">, the table below provides the estimated growth rate for </w:t>
      </w:r>
      <w:r w:rsidR="00BF2641" w:rsidRPr="00157E45">
        <w:rPr>
          <w:rFonts w:ascii="Arial" w:hAnsi="Arial" w:cs="Arial"/>
          <w:sz w:val="22"/>
          <w:szCs w:val="22"/>
        </w:rPr>
        <w:t>domestic visitor nights</w:t>
      </w:r>
      <w:r w:rsidRPr="00157E45">
        <w:rPr>
          <w:rFonts w:ascii="Arial" w:hAnsi="Arial" w:cs="Arial"/>
          <w:sz w:val="22"/>
          <w:szCs w:val="22"/>
        </w:rPr>
        <w:t xml:space="preserve"> </w:t>
      </w:r>
      <w:r w:rsidR="00196D75" w:rsidRPr="00157E45">
        <w:rPr>
          <w:rFonts w:ascii="Arial" w:hAnsi="Arial" w:cs="Arial"/>
          <w:sz w:val="22"/>
          <w:szCs w:val="22"/>
        </w:rPr>
        <w:t xml:space="preserve">from </w:t>
      </w:r>
      <w:r w:rsidR="00AF22E8" w:rsidRPr="00157E45">
        <w:rPr>
          <w:rFonts w:ascii="Arial" w:hAnsi="Arial" w:cs="Arial"/>
          <w:sz w:val="22"/>
          <w:szCs w:val="22"/>
        </w:rPr>
        <w:t>2024</w:t>
      </w:r>
      <w:r w:rsidR="00196D75" w:rsidRPr="00157E45">
        <w:rPr>
          <w:rFonts w:ascii="Arial" w:hAnsi="Arial" w:cs="Arial"/>
          <w:sz w:val="22"/>
          <w:szCs w:val="22"/>
        </w:rPr>
        <w:t xml:space="preserve"> </w:t>
      </w:r>
      <w:r w:rsidRPr="00157E45">
        <w:rPr>
          <w:rFonts w:ascii="Arial" w:hAnsi="Arial" w:cs="Arial"/>
          <w:sz w:val="22"/>
          <w:szCs w:val="22"/>
        </w:rPr>
        <w:t>to 202</w:t>
      </w:r>
      <w:r w:rsidR="002C3581" w:rsidRPr="00157E45">
        <w:rPr>
          <w:rFonts w:ascii="Arial" w:hAnsi="Arial" w:cs="Arial"/>
          <w:sz w:val="22"/>
          <w:szCs w:val="22"/>
        </w:rPr>
        <w:t>5</w:t>
      </w:r>
      <w:r w:rsidRPr="00157E45">
        <w:rPr>
          <w:rFonts w:ascii="Arial" w:hAnsi="Arial" w:cs="Arial"/>
          <w:sz w:val="22"/>
          <w:szCs w:val="22"/>
        </w:rPr>
        <w:t xml:space="preserve"> and the forecast average annual growth rate</w:t>
      </w:r>
      <w:r w:rsidR="00BF2641" w:rsidRPr="00157E45">
        <w:rPr>
          <w:rFonts w:ascii="Arial" w:hAnsi="Arial" w:cs="Arial"/>
          <w:sz w:val="22"/>
          <w:szCs w:val="22"/>
        </w:rPr>
        <w:t xml:space="preserve"> for domestic nights</w:t>
      </w:r>
      <w:r w:rsidRPr="00157E45">
        <w:rPr>
          <w:rFonts w:ascii="Arial" w:hAnsi="Arial" w:cs="Arial"/>
          <w:sz w:val="22"/>
          <w:szCs w:val="22"/>
        </w:rPr>
        <w:t xml:space="preserve"> from </w:t>
      </w:r>
      <w:r w:rsidR="00AF22E8" w:rsidRPr="00157E45">
        <w:rPr>
          <w:rFonts w:ascii="Arial" w:hAnsi="Arial" w:cs="Arial"/>
          <w:sz w:val="22"/>
          <w:szCs w:val="22"/>
        </w:rPr>
        <w:t>2024</w:t>
      </w:r>
      <w:r w:rsidRPr="00157E45">
        <w:rPr>
          <w:rFonts w:ascii="Arial" w:hAnsi="Arial" w:cs="Arial"/>
          <w:sz w:val="22"/>
          <w:szCs w:val="22"/>
        </w:rPr>
        <w:t xml:space="preserve"> to </w:t>
      </w:r>
      <w:r w:rsidR="00AF22E8" w:rsidRPr="00157E45">
        <w:rPr>
          <w:rFonts w:ascii="Arial" w:hAnsi="Arial" w:cs="Arial"/>
          <w:sz w:val="22"/>
          <w:szCs w:val="22"/>
        </w:rPr>
        <w:t>2029</w:t>
      </w:r>
      <w:r w:rsidRPr="00157E45">
        <w:rPr>
          <w:rFonts w:ascii="Arial" w:hAnsi="Arial" w:cs="Arial"/>
          <w:sz w:val="22"/>
          <w:szCs w:val="22"/>
        </w:rPr>
        <w:t>.</w:t>
      </w:r>
    </w:p>
    <w:tbl>
      <w:tblPr>
        <w:tblStyle w:val="TableGrid"/>
        <w:tblW w:w="9067" w:type="dxa"/>
        <w:tblLook w:val="04A0" w:firstRow="1" w:lastRow="0" w:firstColumn="1" w:lastColumn="0" w:noHBand="0" w:noVBand="1"/>
      </w:tblPr>
      <w:tblGrid>
        <w:gridCol w:w="3114"/>
        <w:gridCol w:w="2410"/>
        <w:gridCol w:w="3543"/>
      </w:tblGrid>
      <w:tr w:rsidR="003A536D" w:rsidRPr="00157E45" w14:paraId="4DB2D00A" w14:textId="77777777" w:rsidTr="00345087">
        <w:trPr>
          <w:trHeight w:val="576"/>
          <w:tblHeader/>
        </w:trPr>
        <w:tc>
          <w:tcPr>
            <w:tcW w:w="3114" w:type="dxa"/>
            <w:shd w:val="clear" w:color="auto" w:fill="D9D9D9" w:themeFill="background1" w:themeFillShade="D9"/>
          </w:tcPr>
          <w:p w14:paraId="751CB49F" w14:textId="2C685F56" w:rsidR="003A536D" w:rsidRPr="00157E45" w:rsidRDefault="00827CE7" w:rsidP="00494B73">
            <w:pPr>
              <w:spacing w:after="120" w:line="240" w:lineRule="auto"/>
              <w:rPr>
                <w:rFonts w:ascii="Arial" w:hAnsi="Arial" w:cs="Arial"/>
                <w:b/>
                <w:bCs/>
                <w:color w:val="000000" w:themeColor="text1"/>
                <w:sz w:val="22"/>
                <w:szCs w:val="22"/>
              </w:rPr>
            </w:pPr>
            <w:bookmarkStart w:id="42" w:name="Title_913" w:colFirst="0" w:colLast="0"/>
            <w:r w:rsidRPr="00157E45">
              <w:rPr>
                <w:rFonts w:ascii="Arial" w:hAnsi="Arial" w:cs="Arial"/>
                <w:b/>
                <w:bCs/>
                <w:color w:val="000000" w:themeColor="text1"/>
                <w:sz w:val="22"/>
                <w:szCs w:val="22"/>
              </w:rPr>
              <w:t xml:space="preserve">Jurisdiction </w:t>
            </w:r>
          </w:p>
        </w:tc>
        <w:tc>
          <w:tcPr>
            <w:tcW w:w="2410" w:type="dxa"/>
            <w:shd w:val="clear" w:color="auto" w:fill="D9D9D9" w:themeFill="background1" w:themeFillShade="D9"/>
          </w:tcPr>
          <w:p w14:paraId="694A1CFD" w14:textId="2E881829" w:rsidR="003A536D" w:rsidRPr="00157E45" w:rsidRDefault="003A536D"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 xml:space="preserve">Growth rate </w:t>
            </w:r>
            <w:r w:rsidR="00196D75" w:rsidRPr="00157E45">
              <w:rPr>
                <w:rFonts w:ascii="Arial" w:hAnsi="Arial" w:cs="Arial"/>
                <w:b/>
                <w:bCs/>
                <w:color w:val="000000" w:themeColor="text1"/>
                <w:sz w:val="22"/>
                <w:szCs w:val="22"/>
              </w:rPr>
              <w:t xml:space="preserve">from </w:t>
            </w:r>
            <w:r w:rsidR="00AF22E8" w:rsidRPr="00157E45">
              <w:rPr>
                <w:rFonts w:ascii="Arial" w:hAnsi="Arial" w:cs="Arial"/>
                <w:b/>
                <w:bCs/>
                <w:color w:val="000000" w:themeColor="text1"/>
                <w:sz w:val="22"/>
                <w:szCs w:val="22"/>
              </w:rPr>
              <w:t>202</w:t>
            </w:r>
            <w:r w:rsidR="005940EB" w:rsidRPr="00157E45">
              <w:rPr>
                <w:rFonts w:ascii="Arial" w:hAnsi="Arial" w:cs="Arial"/>
                <w:b/>
                <w:bCs/>
                <w:color w:val="000000" w:themeColor="text1"/>
                <w:sz w:val="22"/>
                <w:szCs w:val="22"/>
              </w:rPr>
              <w:t>4</w:t>
            </w:r>
            <w:r w:rsidR="00196D75" w:rsidRPr="00157E45">
              <w:rPr>
                <w:rFonts w:ascii="Arial" w:hAnsi="Arial" w:cs="Arial"/>
                <w:b/>
                <w:bCs/>
                <w:color w:val="000000" w:themeColor="text1"/>
                <w:sz w:val="22"/>
                <w:szCs w:val="22"/>
              </w:rPr>
              <w:t xml:space="preserve"> </w:t>
            </w:r>
            <w:r w:rsidRPr="00157E45">
              <w:rPr>
                <w:rFonts w:ascii="Arial" w:hAnsi="Arial" w:cs="Arial"/>
                <w:b/>
                <w:bCs/>
                <w:color w:val="000000" w:themeColor="text1"/>
                <w:sz w:val="22"/>
                <w:szCs w:val="22"/>
              </w:rPr>
              <w:t>to 202</w:t>
            </w:r>
            <w:r w:rsidR="005940EB" w:rsidRPr="00157E45">
              <w:rPr>
                <w:rFonts w:ascii="Arial" w:hAnsi="Arial" w:cs="Arial"/>
                <w:b/>
                <w:bCs/>
                <w:color w:val="000000" w:themeColor="text1"/>
                <w:sz w:val="22"/>
                <w:szCs w:val="22"/>
              </w:rPr>
              <w:t>5</w:t>
            </w:r>
          </w:p>
        </w:tc>
        <w:tc>
          <w:tcPr>
            <w:tcW w:w="3543" w:type="dxa"/>
            <w:shd w:val="clear" w:color="auto" w:fill="D9D9D9" w:themeFill="background1" w:themeFillShade="D9"/>
          </w:tcPr>
          <w:p w14:paraId="5B46FF09" w14:textId="394EF8FE" w:rsidR="003A536D" w:rsidRPr="00157E45" w:rsidRDefault="003A536D"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 xml:space="preserve">Average annual growth rate from </w:t>
            </w:r>
            <w:r w:rsidR="00AF22E8" w:rsidRPr="00157E45">
              <w:rPr>
                <w:rFonts w:ascii="Arial" w:hAnsi="Arial" w:cs="Arial"/>
                <w:b/>
                <w:bCs/>
                <w:color w:val="000000" w:themeColor="text1"/>
                <w:sz w:val="22"/>
                <w:szCs w:val="22"/>
              </w:rPr>
              <w:t>2024</w:t>
            </w:r>
            <w:r w:rsidRPr="00157E45">
              <w:rPr>
                <w:rFonts w:ascii="Arial" w:hAnsi="Arial" w:cs="Arial"/>
                <w:b/>
                <w:bCs/>
                <w:color w:val="000000" w:themeColor="text1"/>
                <w:sz w:val="22"/>
                <w:szCs w:val="22"/>
              </w:rPr>
              <w:t xml:space="preserve"> to </w:t>
            </w:r>
            <w:r w:rsidR="00AF22E8" w:rsidRPr="00157E45">
              <w:rPr>
                <w:rFonts w:ascii="Arial" w:hAnsi="Arial" w:cs="Arial"/>
                <w:b/>
                <w:bCs/>
                <w:color w:val="000000" w:themeColor="text1"/>
                <w:sz w:val="22"/>
                <w:szCs w:val="22"/>
              </w:rPr>
              <w:t>2029</w:t>
            </w:r>
          </w:p>
        </w:tc>
      </w:tr>
      <w:bookmarkEnd w:id="42"/>
      <w:tr w:rsidR="003A536D" w:rsidRPr="00157E45" w14:paraId="5C163AAB" w14:textId="77777777" w:rsidTr="00345087">
        <w:trPr>
          <w:tblHeader/>
        </w:trPr>
        <w:tc>
          <w:tcPr>
            <w:tcW w:w="3114" w:type="dxa"/>
          </w:tcPr>
          <w:p w14:paraId="5FE3EC51" w14:textId="756352F4" w:rsidR="000F7F2E" w:rsidRPr="00157E45" w:rsidRDefault="000F7F2E"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New South Wales</w:t>
            </w:r>
          </w:p>
        </w:tc>
        <w:tc>
          <w:tcPr>
            <w:tcW w:w="2410" w:type="dxa"/>
          </w:tcPr>
          <w:p w14:paraId="45EDD3B7" w14:textId="1AE8AD5D"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4D5CE6" w:rsidRPr="00157E45">
              <w:rPr>
                <w:rFonts w:ascii="Arial" w:hAnsi="Arial" w:cs="Arial"/>
                <w:color w:val="000000" w:themeColor="text1"/>
                <w:sz w:val="22"/>
                <w:szCs w:val="22"/>
              </w:rPr>
              <w:t>1.5</w:t>
            </w:r>
            <w:r w:rsidRPr="00157E45">
              <w:rPr>
                <w:rFonts w:ascii="Arial" w:hAnsi="Arial" w:cs="Arial"/>
                <w:color w:val="000000" w:themeColor="text1"/>
                <w:sz w:val="22"/>
                <w:szCs w:val="22"/>
              </w:rPr>
              <w:t>%</w:t>
            </w:r>
          </w:p>
        </w:tc>
        <w:tc>
          <w:tcPr>
            <w:tcW w:w="3543" w:type="dxa"/>
          </w:tcPr>
          <w:p w14:paraId="4FDFE9B9" w14:textId="0A93A56C"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7B16FC" w:rsidRPr="00157E45">
              <w:rPr>
                <w:rFonts w:ascii="Arial" w:hAnsi="Arial" w:cs="Arial"/>
                <w:color w:val="000000" w:themeColor="text1"/>
                <w:sz w:val="22"/>
                <w:szCs w:val="22"/>
              </w:rPr>
              <w:t>3</w:t>
            </w:r>
            <w:r w:rsidRPr="00157E45">
              <w:rPr>
                <w:rFonts w:ascii="Arial" w:hAnsi="Arial" w:cs="Arial"/>
                <w:color w:val="000000" w:themeColor="text1"/>
                <w:sz w:val="22"/>
                <w:szCs w:val="22"/>
              </w:rPr>
              <w:t>.</w:t>
            </w:r>
            <w:r w:rsidR="007B16FC" w:rsidRPr="00157E45">
              <w:rPr>
                <w:rFonts w:ascii="Arial" w:hAnsi="Arial" w:cs="Arial"/>
                <w:color w:val="000000" w:themeColor="text1"/>
                <w:sz w:val="22"/>
                <w:szCs w:val="22"/>
              </w:rPr>
              <w:t>4</w:t>
            </w:r>
            <w:r w:rsidRPr="00157E45">
              <w:rPr>
                <w:rFonts w:ascii="Arial" w:hAnsi="Arial" w:cs="Arial"/>
                <w:color w:val="000000" w:themeColor="text1"/>
                <w:sz w:val="22"/>
                <w:szCs w:val="22"/>
              </w:rPr>
              <w:t>% per annum</w:t>
            </w:r>
          </w:p>
        </w:tc>
      </w:tr>
      <w:tr w:rsidR="003A536D" w:rsidRPr="00157E45" w14:paraId="4E825669" w14:textId="77777777" w:rsidTr="00345087">
        <w:tc>
          <w:tcPr>
            <w:tcW w:w="3114" w:type="dxa"/>
          </w:tcPr>
          <w:p w14:paraId="5BD59181" w14:textId="17929A5B" w:rsidR="003A536D" w:rsidRPr="00157E45" w:rsidRDefault="00027101"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Queensland</w:t>
            </w:r>
          </w:p>
        </w:tc>
        <w:tc>
          <w:tcPr>
            <w:tcW w:w="2410" w:type="dxa"/>
          </w:tcPr>
          <w:p w14:paraId="2B3BE478" w14:textId="654A71E5"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4D5CE6" w:rsidRPr="00157E45">
              <w:rPr>
                <w:rFonts w:ascii="Arial" w:hAnsi="Arial" w:cs="Arial"/>
                <w:color w:val="000000" w:themeColor="text1"/>
                <w:sz w:val="22"/>
                <w:szCs w:val="22"/>
              </w:rPr>
              <w:t>1</w:t>
            </w:r>
            <w:r w:rsidRPr="00157E45">
              <w:rPr>
                <w:rFonts w:ascii="Arial" w:hAnsi="Arial" w:cs="Arial"/>
                <w:color w:val="000000" w:themeColor="text1"/>
                <w:sz w:val="22"/>
                <w:szCs w:val="22"/>
              </w:rPr>
              <w:t>.</w:t>
            </w:r>
            <w:r w:rsidR="00F30080" w:rsidRPr="00157E45">
              <w:rPr>
                <w:rFonts w:ascii="Arial" w:hAnsi="Arial" w:cs="Arial"/>
                <w:color w:val="000000" w:themeColor="text1"/>
                <w:sz w:val="22"/>
                <w:szCs w:val="22"/>
              </w:rPr>
              <w:t>8</w:t>
            </w:r>
            <w:r w:rsidRPr="00157E45">
              <w:rPr>
                <w:rFonts w:ascii="Arial" w:hAnsi="Arial" w:cs="Arial"/>
              </w:rPr>
              <w:t>%</w:t>
            </w:r>
          </w:p>
        </w:tc>
        <w:tc>
          <w:tcPr>
            <w:tcW w:w="3543" w:type="dxa"/>
          </w:tcPr>
          <w:p w14:paraId="33B8AAEF" w14:textId="5B2F3438"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7B16FC" w:rsidRPr="00157E45">
              <w:rPr>
                <w:rFonts w:ascii="Arial" w:hAnsi="Arial" w:cs="Arial"/>
                <w:color w:val="000000" w:themeColor="text1"/>
                <w:sz w:val="22"/>
                <w:szCs w:val="22"/>
              </w:rPr>
              <w:t>3</w:t>
            </w:r>
            <w:r w:rsidRPr="00157E45">
              <w:rPr>
                <w:rFonts w:ascii="Arial" w:hAnsi="Arial" w:cs="Arial"/>
                <w:color w:val="000000" w:themeColor="text1"/>
              </w:rPr>
              <w:t>.</w:t>
            </w:r>
            <w:r w:rsidR="007B16FC" w:rsidRPr="00157E45">
              <w:rPr>
                <w:rFonts w:ascii="Arial" w:hAnsi="Arial" w:cs="Arial"/>
                <w:color w:val="000000" w:themeColor="text1"/>
              </w:rPr>
              <w:t>5</w:t>
            </w:r>
            <w:r w:rsidRPr="00157E45">
              <w:rPr>
                <w:rFonts w:ascii="Arial" w:hAnsi="Arial" w:cs="Arial"/>
              </w:rPr>
              <w:t>% per annum</w:t>
            </w:r>
          </w:p>
        </w:tc>
      </w:tr>
      <w:tr w:rsidR="003A536D" w:rsidRPr="00157E45" w14:paraId="5C2D8EE5" w14:textId="77777777" w:rsidTr="00345087">
        <w:tc>
          <w:tcPr>
            <w:tcW w:w="3114" w:type="dxa"/>
          </w:tcPr>
          <w:p w14:paraId="7939CDD6" w14:textId="510838AA" w:rsidR="003A536D" w:rsidRPr="00157E45" w:rsidRDefault="00027101"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Victoria</w:t>
            </w:r>
          </w:p>
        </w:tc>
        <w:tc>
          <w:tcPr>
            <w:tcW w:w="2410" w:type="dxa"/>
          </w:tcPr>
          <w:p w14:paraId="399A86D3" w14:textId="4B047374"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F30080" w:rsidRPr="00157E45">
              <w:rPr>
                <w:rFonts w:ascii="Arial" w:hAnsi="Arial" w:cs="Arial"/>
                <w:color w:val="000000" w:themeColor="text1"/>
                <w:sz w:val="22"/>
                <w:szCs w:val="22"/>
              </w:rPr>
              <w:t>1.</w:t>
            </w:r>
            <w:r w:rsidR="004D5CE6" w:rsidRPr="00157E45">
              <w:rPr>
                <w:rFonts w:ascii="Arial" w:hAnsi="Arial" w:cs="Arial"/>
                <w:color w:val="000000" w:themeColor="text1"/>
                <w:sz w:val="22"/>
                <w:szCs w:val="22"/>
              </w:rPr>
              <w:t>4</w:t>
            </w:r>
            <w:r w:rsidRPr="00157E45">
              <w:rPr>
                <w:rFonts w:ascii="Arial" w:hAnsi="Arial" w:cs="Arial"/>
              </w:rPr>
              <w:t>%</w:t>
            </w:r>
          </w:p>
        </w:tc>
        <w:tc>
          <w:tcPr>
            <w:tcW w:w="3543" w:type="dxa"/>
          </w:tcPr>
          <w:p w14:paraId="78331EB2" w14:textId="5733CE15"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F30080" w:rsidRPr="00157E45">
              <w:rPr>
                <w:rFonts w:ascii="Arial" w:hAnsi="Arial" w:cs="Arial"/>
                <w:color w:val="000000" w:themeColor="text1"/>
                <w:sz w:val="22"/>
                <w:szCs w:val="22"/>
              </w:rPr>
              <w:t>3.</w:t>
            </w:r>
            <w:r w:rsidR="007B16FC" w:rsidRPr="00157E45">
              <w:rPr>
                <w:rFonts w:ascii="Arial" w:hAnsi="Arial" w:cs="Arial"/>
                <w:color w:val="000000" w:themeColor="text1"/>
                <w:sz w:val="22"/>
                <w:szCs w:val="22"/>
              </w:rPr>
              <w:t>4</w:t>
            </w:r>
            <w:r w:rsidRPr="00157E45">
              <w:rPr>
                <w:rFonts w:ascii="Arial" w:hAnsi="Arial" w:cs="Arial"/>
                <w:color w:val="000000" w:themeColor="text1"/>
                <w:sz w:val="22"/>
                <w:szCs w:val="22"/>
              </w:rPr>
              <w:t>% per annum</w:t>
            </w:r>
          </w:p>
        </w:tc>
      </w:tr>
      <w:tr w:rsidR="003A536D" w:rsidRPr="00157E45" w14:paraId="79AC91DC" w14:textId="77777777" w:rsidTr="00345087">
        <w:tc>
          <w:tcPr>
            <w:tcW w:w="3114" w:type="dxa"/>
          </w:tcPr>
          <w:p w14:paraId="5ACFC753" w14:textId="6F3F63A5" w:rsidR="003A536D" w:rsidRPr="00157E45" w:rsidRDefault="00027101"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Western</w:t>
            </w:r>
            <w:r w:rsidR="000F7F2E" w:rsidRPr="00157E45">
              <w:rPr>
                <w:rFonts w:ascii="Arial" w:hAnsi="Arial" w:cs="Arial"/>
                <w:b/>
                <w:bCs/>
                <w:color w:val="000000" w:themeColor="text1"/>
                <w:sz w:val="22"/>
                <w:szCs w:val="22"/>
              </w:rPr>
              <w:t xml:space="preserve"> Australia</w:t>
            </w:r>
          </w:p>
        </w:tc>
        <w:tc>
          <w:tcPr>
            <w:tcW w:w="2410" w:type="dxa"/>
          </w:tcPr>
          <w:p w14:paraId="701E96B6" w14:textId="6D58343C"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F30080" w:rsidRPr="00157E45">
              <w:rPr>
                <w:rFonts w:ascii="Arial" w:hAnsi="Arial" w:cs="Arial"/>
                <w:color w:val="000000" w:themeColor="text1"/>
                <w:sz w:val="22"/>
                <w:szCs w:val="22"/>
              </w:rPr>
              <w:t>2.</w:t>
            </w:r>
            <w:r w:rsidR="004D5CE6" w:rsidRPr="00157E45">
              <w:rPr>
                <w:rFonts w:ascii="Arial" w:hAnsi="Arial" w:cs="Arial"/>
                <w:color w:val="000000" w:themeColor="text1"/>
                <w:sz w:val="22"/>
                <w:szCs w:val="22"/>
              </w:rPr>
              <w:t>0</w:t>
            </w:r>
            <w:r w:rsidRPr="00157E45">
              <w:rPr>
                <w:rFonts w:ascii="Arial" w:hAnsi="Arial" w:cs="Arial"/>
              </w:rPr>
              <w:t>%</w:t>
            </w:r>
          </w:p>
        </w:tc>
        <w:tc>
          <w:tcPr>
            <w:tcW w:w="3543" w:type="dxa"/>
          </w:tcPr>
          <w:p w14:paraId="6088C2F8" w14:textId="7545811E"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 xml:space="preserve">Increase of </w:t>
            </w:r>
            <w:r w:rsidR="007B16FC" w:rsidRPr="00157E45">
              <w:rPr>
                <w:rFonts w:ascii="Arial" w:hAnsi="Arial" w:cs="Arial"/>
                <w:color w:val="000000" w:themeColor="text1"/>
                <w:sz w:val="22"/>
                <w:szCs w:val="22"/>
              </w:rPr>
              <w:t>3</w:t>
            </w:r>
            <w:r w:rsidR="00F30080" w:rsidRPr="00157E45">
              <w:rPr>
                <w:rFonts w:ascii="Arial" w:hAnsi="Arial" w:cs="Arial"/>
                <w:color w:val="000000" w:themeColor="text1"/>
                <w:sz w:val="22"/>
                <w:szCs w:val="22"/>
              </w:rPr>
              <w:t>.</w:t>
            </w:r>
            <w:r w:rsidR="007B16FC" w:rsidRPr="00157E45">
              <w:rPr>
                <w:rFonts w:ascii="Arial" w:hAnsi="Arial" w:cs="Arial"/>
                <w:color w:val="000000" w:themeColor="text1"/>
                <w:sz w:val="22"/>
                <w:szCs w:val="22"/>
              </w:rPr>
              <w:t>3</w:t>
            </w:r>
            <w:r w:rsidRPr="00157E45">
              <w:rPr>
                <w:rFonts w:ascii="Arial" w:hAnsi="Arial" w:cs="Arial"/>
                <w:color w:val="000000" w:themeColor="text1"/>
                <w:sz w:val="22"/>
                <w:szCs w:val="22"/>
              </w:rPr>
              <w:t>% per annum</w:t>
            </w:r>
          </w:p>
        </w:tc>
      </w:tr>
      <w:tr w:rsidR="003A536D" w:rsidRPr="00157E45" w14:paraId="5D54EFEA" w14:textId="77777777" w:rsidTr="00345087">
        <w:tc>
          <w:tcPr>
            <w:tcW w:w="3114" w:type="dxa"/>
          </w:tcPr>
          <w:p w14:paraId="6C64A918" w14:textId="3FB33960" w:rsidR="003A536D" w:rsidRPr="00157E45" w:rsidRDefault="00027101"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South</w:t>
            </w:r>
            <w:r w:rsidR="000F7F2E" w:rsidRPr="00157E45">
              <w:rPr>
                <w:rFonts w:ascii="Arial" w:hAnsi="Arial" w:cs="Arial"/>
                <w:b/>
                <w:bCs/>
                <w:color w:val="000000" w:themeColor="text1"/>
                <w:sz w:val="22"/>
                <w:szCs w:val="22"/>
              </w:rPr>
              <w:t xml:space="preserve"> Australia</w:t>
            </w:r>
          </w:p>
        </w:tc>
        <w:tc>
          <w:tcPr>
            <w:tcW w:w="2410" w:type="dxa"/>
          </w:tcPr>
          <w:p w14:paraId="6CB7E771" w14:textId="2D12013A"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rPr>
              <w:t xml:space="preserve">Increase of </w:t>
            </w:r>
            <w:r w:rsidR="004D5CE6" w:rsidRPr="00157E45">
              <w:rPr>
                <w:rFonts w:ascii="Arial" w:hAnsi="Arial" w:cs="Arial"/>
              </w:rPr>
              <w:t>0.9</w:t>
            </w:r>
            <w:r w:rsidRPr="00157E45">
              <w:rPr>
                <w:rFonts w:ascii="Arial" w:hAnsi="Arial" w:cs="Arial"/>
              </w:rPr>
              <w:t>%</w:t>
            </w:r>
          </w:p>
        </w:tc>
        <w:tc>
          <w:tcPr>
            <w:tcW w:w="3543" w:type="dxa"/>
          </w:tcPr>
          <w:p w14:paraId="6636BF47" w14:textId="789A1E46" w:rsidR="003A536D" w:rsidRPr="00157E45" w:rsidRDefault="003A536D" w:rsidP="00494B73">
            <w:pPr>
              <w:spacing w:after="120" w:line="240" w:lineRule="auto"/>
              <w:rPr>
                <w:rFonts w:ascii="Arial" w:hAnsi="Arial" w:cs="Arial"/>
                <w:color w:val="000000" w:themeColor="text1"/>
                <w:sz w:val="22"/>
                <w:szCs w:val="22"/>
              </w:rPr>
            </w:pPr>
            <w:r w:rsidRPr="00157E45">
              <w:rPr>
                <w:rFonts w:ascii="Arial" w:hAnsi="Arial" w:cs="Arial"/>
              </w:rPr>
              <w:t xml:space="preserve">Increase of </w:t>
            </w:r>
            <w:r w:rsidR="007B16FC" w:rsidRPr="00157E45">
              <w:rPr>
                <w:rFonts w:ascii="Arial" w:hAnsi="Arial" w:cs="Arial"/>
              </w:rPr>
              <w:t>3</w:t>
            </w:r>
            <w:r w:rsidR="00F440C5" w:rsidRPr="00157E45">
              <w:rPr>
                <w:rFonts w:ascii="Arial" w:hAnsi="Arial" w:cs="Arial"/>
              </w:rPr>
              <w:t>.</w:t>
            </w:r>
            <w:r w:rsidR="007B16FC" w:rsidRPr="00157E45">
              <w:rPr>
                <w:rFonts w:ascii="Arial" w:hAnsi="Arial" w:cs="Arial"/>
              </w:rPr>
              <w:t>0</w:t>
            </w:r>
            <w:r w:rsidRPr="00157E45">
              <w:rPr>
                <w:rFonts w:ascii="Arial" w:hAnsi="Arial" w:cs="Arial"/>
              </w:rPr>
              <w:t>% per annum</w:t>
            </w:r>
          </w:p>
        </w:tc>
      </w:tr>
      <w:tr w:rsidR="00F440C5" w:rsidRPr="00157E45" w14:paraId="237FD079" w14:textId="77777777" w:rsidTr="00345087">
        <w:tc>
          <w:tcPr>
            <w:tcW w:w="3114" w:type="dxa"/>
          </w:tcPr>
          <w:p w14:paraId="45AA0767" w14:textId="2D9F348F" w:rsidR="00F440C5" w:rsidRPr="00157E45" w:rsidRDefault="00F440C5" w:rsidP="00F440C5">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Tasmania</w:t>
            </w:r>
          </w:p>
        </w:tc>
        <w:tc>
          <w:tcPr>
            <w:tcW w:w="2410" w:type="dxa"/>
          </w:tcPr>
          <w:p w14:paraId="26EACAD1" w14:textId="66C0E3E3" w:rsidR="00F440C5" w:rsidRPr="00157E45" w:rsidRDefault="00F440C5" w:rsidP="00F440C5">
            <w:pPr>
              <w:spacing w:after="120" w:line="240" w:lineRule="auto"/>
              <w:rPr>
                <w:rFonts w:ascii="Arial" w:hAnsi="Arial" w:cs="Arial"/>
              </w:rPr>
            </w:pPr>
            <w:r w:rsidRPr="00157E45">
              <w:rPr>
                <w:rFonts w:ascii="Arial" w:hAnsi="Arial" w:cs="Arial"/>
              </w:rPr>
              <w:t xml:space="preserve">Increase of </w:t>
            </w:r>
            <w:r w:rsidR="007B16FC" w:rsidRPr="00157E45">
              <w:rPr>
                <w:rFonts w:ascii="Arial" w:hAnsi="Arial" w:cs="Arial"/>
              </w:rPr>
              <w:t>2.2</w:t>
            </w:r>
            <w:r w:rsidRPr="00157E45">
              <w:rPr>
                <w:rFonts w:ascii="Arial" w:hAnsi="Arial" w:cs="Arial"/>
              </w:rPr>
              <w:t>%</w:t>
            </w:r>
          </w:p>
        </w:tc>
        <w:tc>
          <w:tcPr>
            <w:tcW w:w="3543" w:type="dxa"/>
          </w:tcPr>
          <w:p w14:paraId="187389F2" w14:textId="5C8362BA" w:rsidR="00F440C5" w:rsidRPr="00157E45" w:rsidRDefault="00F440C5" w:rsidP="00F440C5">
            <w:pPr>
              <w:spacing w:after="120" w:line="240" w:lineRule="auto"/>
              <w:rPr>
                <w:rFonts w:ascii="Arial" w:hAnsi="Arial" w:cs="Arial"/>
              </w:rPr>
            </w:pPr>
            <w:r w:rsidRPr="00157E45">
              <w:rPr>
                <w:rFonts w:ascii="Arial" w:hAnsi="Arial" w:cs="Arial"/>
              </w:rPr>
              <w:t xml:space="preserve">Increase of </w:t>
            </w:r>
            <w:r w:rsidR="00C160B3" w:rsidRPr="00157E45">
              <w:rPr>
                <w:rFonts w:ascii="Arial" w:hAnsi="Arial" w:cs="Arial"/>
              </w:rPr>
              <w:t>2</w:t>
            </w:r>
            <w:r w:rsidRPr="00157E45">
              <w:rPr>
                <w:rFonts w:ascii="Arial" w:hAnsi="Arial" w:cs="Arial"/>
              </w:rPr>
              <w:t>.</w:t>
            </w:r>
            <w:r w:rsidR="00C160B3" w:rsidRPr="00157E45">
              <w:rPr>
                <w:rFonts w:ascii="Arial" w:hAnsi="Arial" w:cs="Arial"/>
              </w:rPr>
              <w:t>8</w:t>
            </w:r>
            <w:r w:rsidRPr="00157E45">
              <w:rPr>
                <w:rFonts w:ascii="Arial" w:hAnsi="Arial" w:cs="Arial"/>
              </w:rPr>
              <w:t>% per annum</w:t>
            </w:r>
          </w:p>
        </w:tc>
      </w:tr>
      <w:tr w:rsidR="00F440C5" w:rsidRPr="00157E45" w14:paraId="2493304F" w14:textId="77777777" w:rsidTr="00345087">
        <w:tc>
          <w:tcPr>
            <w:tcW w:w="3114" w:type="dxa"/>
          </w:tcPr>
          <w:p w14:paraId="7FE06F44" w14:textId="1C67DE5F" w:rsidR="00F440C5" w:rsidRPr="00157E45" w:rsidRDefault="00027101" w:rsidP="00F440C5">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Australian Capital Territory</w:t>
            </w:r>
          </w:p>
        </w:tc>
        <w:tc>
          <w:tcPr>
            <w:tcW w:w="2410" w:type="dxa"/>
          </w:tcPr>
          <w:p w14:paraId="60197059" w14:textId="6452A987" w:rsidR="00F440C5" w:rsidRPr="00157E45" w:rsidRDefault="00F440C5" w:rsidP="00F440C5">
            <w:pPr>
              <w:spacing w:after="120" w:line="240" w:lineRule="auto"/>
              <w:rPr>
                <w:rFonts w:ascii="Arial" w:hAnsi="Arial" w:cs="Arial"/>
              </w:rPr>
            </w:pPr>
            <w:r w:rsidRPr="00157E45">
              <w:rPr>
                <w:rFonts w:ascii="Arial" w:hAnsi="Arial" w:cs="Arial"/>
              </w:rPr>
              <w:t xml:space="preserve">Increase of </w:t>
            </w:r>
            <w:r w:rsidR="001C0718" w:rsidRPr="00157E45">
              <w:rPr>
                <w:rFonts w:ascii="Arial" w:hAnsi="Arial" w:cs="Arial"/>
              </w:rPr>
              <w:t>3.</w:t>
            </w:r>
            <w:r w:rsidR="007B16FC" w:rsidRPr="00157E45">
              <w:rPr>
                <w:rFonts w:ascii="Arial" w:hAnsi="Arial" w:cs="Arial"/>
              </w:rPr>
              <w:t>1</w:t>
            </w:r>
            <w:r w:rsidRPr="00157E45">
              <w:rPr>
                <w:rFonts w:ascii="Arial" w:hAnsi="Arial" w:cs="Arial"/>
              </w:rPr>
              <w:t>%</w:t>
            </w:r>
          </w:p>
        </w:tc>
        <w:tc>
          <w:tcPr>
            <w:tcW w:w="3543" w:type="dxa"/>
          </w:tcPr>
          <w:p w14:paraId="4AF7EEDB" w14:textId="0673BAA1" w:rsidR="00F440C5" w:rsidRPr="00157E45" w:rsidRDefault="00F440C5" w:rsidP="00F440C5">
            <w:pPr>
              <w:spacing w:after="120" w:line="240" w:lineRule="auto"/>
              <w:rPr>
                <w:rFonts w:ascii="Arial" w:hAnsi="Arial" w:cs="Arial"/>
              </w:rPr>
            </w:pPr>
            <w:r w:rsidRPr="00157E45">
              <w:rPr>
                <w:rFonts w:ascii="Arial" w:hAnsi="Arial" w:cs="Arial"/>
              </w:rPr>
              <w:t xml:space="preserve">Increase of </w:t>
            </w:r>
            <w:r w:rsidR="00C160B3" w:rsidRPr="00157E45">
              <w:rPr>
                <w:rFonts w:ascii="Arial" w:hAnsi="Arial" w:cs="Arial"/>
              </w:rPr>
              <w:t>4</w:t>
            </w:r>
            <w:r w:rsidRPr="00157E45">
              <w:rPr>
                <w:rFonts w:ascii="Arial" w:hAnsi="Arial" w:cs="Arial"/>
              </w:rPr>
              <w:t>.</w:t>
            </w:r>
            <w:r w:rsidR="00C160B3" w:rsidRPr="00157E45">
              <w:rPr>
                <w:rFonts w:ascii="Arial" w:hAnsi="Arial" w:cs="Arial"/>
              </w:rPr>
              <w:t>7</w:t>
            </w:r>
            <w:r w:rsidRPr="00157E45">
              <w:rPr>
                <w:rFonts w:ascii="Arial" w:hAnsi="Arial" w:cs="Arial"/>
              </w:rPr>
              <w:t>% per annum</w:t>
            </w:r>
          </w:p>
        </w:tc>
      </w:tr>
      <w:tr w:rsidR="00F440C5" w:rsidRPr="00157E45" w14:paraId="591E8063" w14:textId="77777777" w:rsidTr="00345087">
        <w:tc>
          <w:tcPr>
            <w:tcW w:w="3114" w:type="dxa"/>
          </w:tcPr>
          <w:p w14:paraId="4C8E2C12" w14:textId="1248B7A8" w:rsidR="00F440C5" w:rsidRPr="00157E45" w:rsidRDefault="00027101" w:rsidP="00F440C5">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Northern</w:t>
            </w:r>
            <w:r w:rsidR="00F440C5" w:rsidRPr="00157E45">
              <w:rPr>
                <w:rFonts w:ascii="Arial" w:hAnsi="Arial" w:cs="Arial"/>
                <w:b/>
                <w:bCs/>
                <w:color w:val="000000" w:themeColor="text1"/>
                <w:sz w:val="22"/>
                <w:szCs w:val="22"/>
              </w:rPr>
              <w:t xml:space="preserve"> Territory</w:t>
            </w:r>
          </w:p>
        </w:tc>
        <w:tc>
          <w:tcPr>
            <w:tcW w:w="2410" w:type="dxa"/>
          </w:tcPr>
          <w:p w14:paraId="053D7FEA" w14:textId="46968E12" w:rsidR="00F440C5" w:rsidRPr="00157E45" w:rsidRDefault="00F440C5" w:rsidP="00F440C5">
            <w:pPr>
              <w:spacing w:after="120" w:line="240" w:lineRule="auto"/>
              <w:rPr>
                <w:rFonts w:ascii="Arial" w:hAnsi="Arial" w:cs="Arial"/>
              </w:rPr>
            </w:pPr>
            <w:r w:rsidRPr="00157E45">
              <w:rPr>
                <w:rFonts w:ascii="Arial" w:hAnsi="Arial" w:cs="Arial"/>
              </w:rPr>
              <w:t xml:space="preserve">Increase of </w:t>
            </w:r>
            <w:r w:rsidR="001C0718" w:rsidRPr="00157E45">
              <w:rPr>
                <w:rFonts w:ascii="Arial" w:hAnsi="Arial" w:cs="Arial"/>
              </w:rPr>
              <w:t>3.</w:t>
            </w:r>
            <w:r w:rsidR="007B16FC" w:rsidRPr="00157E45">
              <w:rPr>
                <w:rFonts w:ascii="Arial" w:hAnsi="Arial" w:cs="Arial"/>
              </w:rPr>
              <w:t>0</w:t>
            </w:r>
            <w:r w:rsidRPr="00157E45">
              <w:rPr>
                <w:rFonts w:ascii="Arial" w:hAnsi="Arial" w:cs="Arial"/>
              </w:rPr>
              <w:t>%</w:t>
            </w:r>
          </w:p>
        </w:tc>
        <w:tc>
          <w:tcPr>
            <w:tcW w:w="3543" w:type="dxa"/>
          </w:tcPr>
          <w:p w14:paraId="2360F187" w14:textId="1845D36B" w:rsidR="00F440C5" w:rsidRPr="00157E45" w:rsidRDefault="00F440C5" w:rsidP="00F440C5">
            <w:pPr>
              <w:spacing w:after="120" w:line="240" w:lineRule="auto"/>
              <w:rPr>
                <w:rFonts w:ascii="Arial" w:hAnsi="Arial" w:cs="Arial"/>
              </w:rPr>
            </w:pPr>
            <w:r w:rsidRPr="00157E45">
              <w:rPr>
                <w:rFonts w:ascii="Arial" w:hAnsi="Arial" w:cs="Arial"/>
              </w:rPr>
              <w:t xml:space="preserve">Increase of </w:t>
            </w:r>
            <w:r w:rsidR="00C160B3" w:rsidRPr="00157E45">
              <w:rPr>
                <w:rFonts w:ascii="Arial" w:hAnsi="Arial" w:cs="Arial"/>
              </w:rPr>
              <w:t>4</w:t>
            </w:r>
            <w:r w:rsidRPr="00157E45">
              <w:rPr>
                <w:rFonts w:ascii="Arial" w:hAnsi="Arial" w:cs="Arial"/>
              </w:rPr>
              <w:t>.</w:t>
            </w:r>
            <w:r w:rsidR="00C160B3" w:rsidRPr="00157E45">
              <w:rPr>
                <w:rFonts w:ascii="Arial" w:hAnsi="Arial" w:cs="Arial"/>
              </w:rPr>
              <w:t>5</w:t>
            </w:r>
            <w:r w:rsidRPr="00157E45">
              <w:rPr>
                <w:rFonts w:ascii="Arial" w:hAnsi="Arial" w:cs="Arial"/>
              </w:rPr>
              <w:t>% per annum</w:t>
            </w:r>
          </w:p>
        </w:tc>
      </w:tr>
      <w:tr w:rsidR="007F2C55" w:rsidRPr="00157E45" w14:paraId="3451BB2A" w14:textId="77777777" w:rsidTr="00345087">
        <w:tc>
          <w:tcPr>
            <w:tcW w:w="3114" w:type="dxa"/>
          </w:tcPr>
          <w:p w14:paraId="58C0413D" w14:textId="5CAA1DBB" w:rsidR="007F2C55" w:rsidRPr="007F2C55" w:rsidRDefault="007F2C55" w:rsidP="007F2C55">
            <w:pPr>
              <w:spacing w:after="120" w:line="240" w:lineRule="auto"/>
              <w:rPr>
                <w:rFonts w:ascii="Arial" w:hAnsi="Arial" w:cs="Arial"/>
                <w:b/>
                <w:bCs/>
                <w:color w:val="000000" w:themeColor="text1"/>
                <w:sz w:val="22"/>
                <w:szCs w:val="22"/>
              </w:rPr>
            </w:pPr>
            <w:r w:rsidRPr="007F2C55">
              <w:rPr>
                <w:rFonts w:ascii="Arial" w:hAnsi="Arial" w:cs="Arial"/>
                <w:b/>
                <w:bCs/>
                <w:color w:val="000000" w:themeColor="text1"/>
                <w:sz w:val="22"/>
                <w:szCs w:val="22"/>
              </w:rPr>
              <w:t>Australia</w:t>
            </w:r>
          </w:p>
        </w:tc>
        <w:tc>
          <w:tcPr>
            <w:tcW w:w="2410" w:type="dxa"/>
          </w:tcPr>
          <w:p w14:paraId="6293ABEE" w14:textId="0543871F" w:rsidR="007F2C55" w:rsidRPr="007F2C55" w:rsidRDefault="007F2C55" w:rsidP="007F2C55">
            <w:pPr>
              <w:spacing w:after="120" w:line="240" w:lineRule="auto"/>
              <w:rPr>
                <w:rFonts w:ascii="Arial" w:hAnsi="Arial" w:cs="Arial"/>
              </w:rPr>
            </w:pPr>
            <w:r w:rsidRPr="007F2C55">
              <w:rPr>
                <w:rFonts w:ascii="Arial" w:hAnsi="Arial" w:cs="Arial"/>
              </w:rPr>
              <w:t>Increase of 1.6%</w:t>
            </w:r>
          </w:p>
        </w:tc>
        <w:tc>
          <w:tcPr>
            <w:tcW w:w="3543" w:type="dxa"/>
          </w:tcPr>
          <w:p w14:paraId="5637C371" w14:textId="0AA3713A" w:rsidR="007F2C55" w:rsidRPr="007F2C55" w:rsidRDefault="007F2C55" w:rsidP="007F2C55">
            <w:pPr>
              <w:spacing w:after="120" w:line="240" w:lineRule="auto"/>
              <w:rPr>
                <w:rFonts w:ascii="Arial" w:hAnsi="Arial" w:cs="Arial"/>
              </w:rPr>
            </w:pPr>
            <w:r w:rsidRPr="007F2C55">
              <w:rPr>
                <w:rFonts w:ascii="Arial" w:hAnsi="Arial" w:cs="Arial"/>
              </w:rPr>
              <w:t>Increase of 3.4% per annum</w:t>
            </w:r>
          </w:p>
        </w:tc>
      </w:tr>
    </w:tbl>
    <w:p w14:paraId="4BB3EE30" w14:textId="77777777" w:rsidR="00124286" w:rsidRPr="00157E45" w:rsidRDefault="00124286" w:rsidP="0085353B">
      <w:pPr>
        <w:pStyle w:val="Heading2"/>
        <w:spacing w:before="80" w:line="240" w:lineRule="auto"/>
        <w:rPr>
          <w:rFonts w:ascii="Arial" w:hAnsi="Arial" w:cs="Arial"/>
        </w:rPr>
      </w:pPr>
    </w:p>
    <w:p w14:paraId="52BB8254" w14:textId="02C65A31" w:rsidR="0085353B" w:rsidRPr="00157E45" w:rsidRDefault="005940EB" w:rsidP="0085353B">
      <w:pPr>
        <w:pStyle w:val="Heading2"/>
        <w:spacing w:before="80" w:line="240" w:lineRule="auto"/>
        <w:rPr>
          <w:rFonts w:ascii="Arial" w:hAnsi="Arial" w:cs="Arial"/>
        </w:rPr>
      </w:pPr>
      <w:bookmarkStart w:id="43" w:name="_Toc184116527"/>
      <w:r w:rsidRPr="00157E45">
        <w:rPr>
          <w:rFonts w:ascii="Arial" w:hAnsi="Arial" w:cs="Arial"/>
        </w:rPr>
        <w:t xml:space="preserve">7.2 </w:t>
      </w:r>
      <w:r w:rsidR="00817204" w:rsidRPr="00157E45">
        <w:rPr>
          <w:rFonts w:ascii="Arial" w:hAnsi="Arial" w:cs="Arial"/>
        </w:rPr>
        <w:t xml:space="preserve">Data table: </w:t>
      </w:r>
      <w:r w:rsidR="004A3CF9" w:rsidRPr="00157E45">
        <w:rPr>
          <w:rFonts w:ascii="Arial" w:hAnsi="Arial" w:cs="Arial"/>
        </w:rPr>
        <w:t xml:space="preserve">Actual and projected </w:t>
      </w:r>
      <w:r w:rsidR="00817204" w:rsidRPr="00157E45">
        <w:rPr>
          <w:rFonts w:ascii="Arial" w:hAnsi="Arial" w:cs="Arial"/>
        </w:rPr>
        <w:t>domestic nights by jurisdiction</w:t>
      </w:r>
      <w:r w:rsidR="002215D5" w:rsidRPr="00157E45">
        <w:rPr>
          <w:rFonts w:ascii="Arial" w:hAnsi="Arial" w:cs="Arial"/>
        </w:rPr>
        <w:t xml:space="preserve"> from 201</w:t>
      </w:r>
      <w:r w:rsidR="00867FE1" w:rsidRPr="00157E45">
        <w:rPr>
          <w:rFonts w:ascii="Arial" w:hAnsi="Arial" w:cs="Arial"/>
        </w:rPr>
        <w:t>9</w:t>
      </w:r>
      <w:r w:rsidR="002215D5" w:rsidRPr="00157E45">
        <w:rPr>
          <w:rFonts w:ascii="Arial" w:hAnsi="Arial" w:cs="Arial"/>
        </w:rPr>
        <w:t xml:space="preserve"> to </w:t>
      </w:r>
      <w:r w:rsidR="00AF22E8" w:rsidRPr="00157E45">
        <w:rPr>
          <w:rFonts w:ascii="Arial" w:hAnsi="Arial" w:cs="Arial"/>
        </w:rPr>
        <w:t>2029</w:t>
      </w:r>
      <w:bookmarkEnd w:id="43"/>
    </w:p>
    <w:p w14:paraId="6A480085" w14:textId="2C32FC5D" w:rsidR="00E00227" w:rsidRPr="00157E45" w:rsidRDefault="006365EE" w:rsidP="0085353B">
      <w:pPr>
        <w:spacing w:before="120" w:after="120" w:line="240" w:lineRule="auto"/>
        <w:rPr>
          <w:rFonts w:ascii="Arial" w:hAnsi="Arial" w:cs="Arial"/>
          <w:sz w:val="22"/>
          <w:szCs w:val="22"/>
        </w:rPr>
      </w:pPr>
      <w:r w:rsidRPr="00157E45">
        <w:rPr>
          <w:rFonts w:ascii="Arial" w:hAnsi="Arial" w:cs="Arial"/>
          <w:sz w:val="22"/>
          <w:szCs w:val="22"/>
        </w:rPr>
        <w:t>The table below provides domestic visitor nights</w:t>
      </w:r>
      <w:r w:rsidR="00FD1F1A" w:rsidRPr="00157E45">
        <w:rPr>
          <w:rFonts w:ascii="Arial" w:hAnsi="Arial" w:cs="Arial"/>
          <w:sz w:val="22"/>
          <w:szCs w:val="22"/>
        </w:rPr>
        <w:t xml:space="preserve"> estimates</w:t>
      </w:r>
      <w:r w:rsidRPr="00157E45">
        <w:rPr>
          <w:rFonts w:ascii="Arial" w:hAnsi="Arial" w:cs="Arial"/>
          <w:sz w:val="22"/>
          <w:szCs w:val="22"/>
        </w:rPr>
        <w:t xml:space="preserve"> for</w:t>
      </w:r>
      <w:r w:rsidR="00FD1F1A" w:rsidRPr="00157E45">
        <w:rPr>
          <w:rFonts w:ascii="Arial" w:hAnsi="Arial" w:cs="Arial"/>
          <w:sz w:val="22"/>
          <w:szCs w:val="22"/>
        </w:rPr>
        <w:t xml:space="preserve"> New South Wales, Victoria, Queensland, South Australia, Western Australia and Tasmania</w:t>
      </w:r>
      <w:r w:rsidRPr="00157E45">
        <w:rPr>
          <w:rFonts w:ascii="Arial" w:hAnsi="Arial" w:cs="Arial"/>
          <w:sz w:val="22"/>
          <w:szCs w:val="22"/>
        </w:rPr>
        <w:t xml:space="preserve"> for 201</w:t>
      </w:r>
      <w:r w:rsidR="00867FE1" w:rsidRPr="00157E45">
        <w:rPr>
          <w:rFonts w:ascii="Arial" w:hAnsi="Arial" w:cs="Arial"/>
          <w:sz w:val="22"/>
          <w:szCs w:val="22"/>
        </w:rPr>
        <w:t>9</w:t>
      </w:r>
      <w:r w:rsidRPr="00157E45">
        <w:rPr>
          <w:rFonts w:ascii="Arial" w:hAnsi="Arial" w:cs="Arial"/>
          <w:sz w:val="22"/>
          <w:szCs w:val="22"/>
        </w:rPr>
        <w:t xml:space="preserve"> through to </w:t>
      </w:r>
      <w:r w:rsidR="00AF22E8" w:rsidRPr="00157E45">
        <w:rPr>
          <w:rFonts w:ascii="Arial" w:hAnsi="Arial" w:cs="Arial"/>
          <w:sz w:val="22"/>
          <w:szCs w:val="22"/>
        </w:rPr>
        <w:t>2029</w:t>
      </w:r>
      <w:r w:rsidRPr="00157E45">
        <w:rPr>
          <w:rFonts w:ascii="Arial" w:hAnsi="Arial" w:cs="Arial"/>
          <w:sz w:val="22"/>
          <w:szCs w:val="22"/>
        </w:rPr>
        <w:t xml:space="preserve">. </w:t>
      </w:r>
      <w:r w:rsidR="006F14D1" w:rsidRPr="00157E45">
        <w:rPr>
          <w:rFonts w:ascii="Arial" w:hAnsi="Arial" w:cs="Arial"/>
          <w:sz w:val="22"/>
          <w:szCs w:val="22"/>
        </w:rPr>
        <w:lastRenderedPageBreak/>
        <w:t>Domestic v</w:t>
      </w:r>
      <w:r w:rsidRPr="00157E45">
        <w:rPr>
          <w:rFonts w:ascii="Arial" w:hAnsi="Arial" w:cs="Arial"/>
          <w:sz w:val="22"/>
          <w:szCs w:val="22"/>
        </w:rPr>
        <w:t xml:space="preserve">isitor </w:t>
      </w:r>
      <w:r w:rsidR="00C017A2" w:rsidRPr="00157E45">
        <w:rPr>
          <w:rFonts w:ascii="Arial" w:hAnsi="Arial" w:cs="Arial"/>
          <w:sz w:val="22"/>
          <w:szCs w:val="22"/>
        </w:rPr>
        <w:t>nights</w:t>
      </w:r>
      <w:r w:rsidRPr="00157E45">
        <w:rPr>
          <w:rFonts w:ascii="Arial" w:hAnsi="Arial" w:cs="Arial"/>
          <w:sz w:val="22"/>
          <w:szCs w:val="22"/>
        </w:rPr>
        <w:t xml:space="preserve"> from 201</w:t>
      </w:r>
      <w:r w:rsidR="002C3581" w:rsidRPr="00157E45">
        <w:rPr>
          <w:rFonts w:ascii="Arial" w:hAnsi="Arial" w:cs="Arial"/>
          <w:sz w:val="22"/>
          <w:szCs w:val="22"/>
        </w:rPr>
        <w:t>4</w:t>
      </w:r>
      <w:r w:rsidRPr="00157E45">
        <w:rPr>
          <w:rFonts w:ascii="Arial" w:hAnsi="Arial" w:cs="Arial"/>
          <w:sz w:val="22"/>
          <w:szCs w:val="22"/>
        </w:rPr>
        <w:t xml:space="preserve"> to 202</w:t>
      </w:r>
      <w:r w:rsidR="002C3581" w:rsidRPr="00157E45">
        <w:rPr>
          <w:rFonts w:ascii="Arial" w:hAnsi="Arial" w:cs="Arial"/>
          <w:sz w:val="22"/>
          <w:szCs w:val="22"/>
        </w:rPr>
        <w:t>3</w:t>
      </w:r>
      <w:r w:rsidRPr="00157E45">
        <w:rPr>
          <w:rFonts w:ascii="Arial" w:hAnsi="Arial" w:cs="Arial"/>
          <w:sz w:val="22"/>
          <w:szCs w:val="22"/>
        </w:rPr>
        <w:t xml:space="preserve"> are actual values while </w:t>
      </w:r>
      <w:r w:rsidR="006F14D1" w:rsidRPr="00157E45">
        <w:rPr>
          <w:rFonts w:ascii="Arial" w:hAnsi="Arial" w:cs="Arial"/>
          <w:sz w:val="22"/>
          <w:szCs w:val="22"/>
        </w:rPr>
        <w:t xml:space="preserve">domestic </w:t>
      </w:r>
      <w:r w:rsidRPr="00157E45">
        <w:rPr>
          <w:rFonts w:ascii="Arial" w:hAnsi="Arial" w:cs="Arial"/>
          <w:sz w:val="22"/>
          <w:szCs w:val="22"/>
        </w:rPr>
        <w:t xml:space="preserve">visitor </w:t>
      </w:r>
      <w:r w:rsidR="00C017A2" w:rsidRPr="00157E45">
        <w:rPr>
          <w:rFonts w:ascii="Arial" w:hAnsi="Arial" w:cs="Arial"/>
          <w:sz w:val="22"/>
          <w:szCs w:val="22"/>
        </w:rPr>
        <w:t>nights</w:t>
      </w:r>
      <w:r w:rsidRPr="00157E45">
        <w:rPr>
          <w:rFonts w:ascii="Arial" w:hAnsi="Arial" w:cs="Arial"/>
          <w:sz w:val="22"/>
          <w:szCs w:val="22"/>
        </w:rPr>
        <w:t xml:space="preserve"> for </w:t>
      </w:r>
      <w:r w:rsidR="00AF22E8" w:rsidRPr="00157E45">
        <w:rPr>
          <w:rFonts w:ascii="Arial" w:hAnsi="Arial" w:cs="Arial"/>
          <w:sz w:val="22"/>
          <w:szCs w:val="22"/>
        </w:rPr>
        <w:t>2024</w:t>
      </w:r>
      <w:r w:rsidRPr="00157E45">
        <w:rPr>
          <w:rFonts w:ascii="Arial" w:hAnsi="Arial" w:cs="Arial"/>
          <w:sz w:val="22"/>
          <w:szCs w:val="22"/>
        </w:rPr>
        <w:t xml:space="preserve"> to </w:t>
      </w:r>
      <w:r w:rsidR="00AF22E8" w:rsidRPr="00157E45">
        <w:rPr>
          <w:rFonts w:ascii="Arial" w:hAnsi="Arial" w:cs="Arial"/>
          <w:sz w:val="22"/>
          <w:szCs w:val="22"/>
        </w:rPr>
        <w:t>2029</w:t>
      </w:r>
      <w:r w:rsidRPr="00157E45">
        <w:rPr>
          <w:rFonts w:ascii="Arial" w:hAnsi="Arial" w:cs="Arial"/>
          <w:sz w:val="22"/>
          <w:szCs w:val="22"/>
        </w:rPr>
        <w:t xml:space="preserve"> are projected.</w:t>
      </w:r>
    </w:p>
    <w:tbl>
      <w:tblPr>
        <w:tblStyle w:val="TableGrid"/>
        <w:tblW w:w="0" w:type="auto"/>
        <w:tblLook w:val="04A0" w:firstRow="1" w:lastRow="0" w:firstColumn="1" w:lastColumn="0" w:noHBand="0" w:noVBand="1"/>
      </w:tblPr>
      <w:tblGrid>
        <w:gridCol w:w="846"/>
        <w:gridCol w:w="1417"/>
        <w:gridCol w:w="1476"/>
        <w:gridCol w:w="1479"/>
        <w:gridCol w:w="1285"/>
        <w:gridCol w:w="1285"/>
        <w:gridCol w:w="1286"/>
      </w:tblGrid>
      <w:tr w:rsidR="00405C6A" w:rsidRPr="00157E45" w14:paraId="20334F2C" w14:textId="77777777" w:rsidTr="00DD198E">
        <w:trPr>
          <w:tblHeader/>
        </w:trPr>
        <w:tc>
          <w:tcPr>
            <w:tcW w:w="846" w:type="dxa"/>
            <w:shd w:val="clear" w:color="auto" w:fill="D9D9D9" w:themeFill="background1" w:themeFillShade="D9"/>
          </w:tcPr>
          <w:p w14:paraId="2B4F15DC" w14:textId="0D7FBB7D" w:rsidR="00405C6A" w:rsidRPr="00157E45" w:rsidRDefault="00E00227" w:rsidP="007B1903">
            <w:pPr>
              <w:spacing w:after="120" w:line="240" w:lineRule="auto"/>
              <w:rPr>
                <w:rFonts w:ascii="Arial" w:hAnsi="Arial" w:cs="Arial"/>
                <w:b/>
                <w:bCs/>
                <w:color w:val="000000" w:themeColor="text1"/>
                <w:sz w:val="22"/>
                <w:szCs w:val="22"/>
              </w:rPr>
            </w:pPr>
            <w:r w:rsidRPr="00157E45">
              <w:rPr>
                <w:rFonts w:ascii="Arial" w:hAnsi="Arial" w:cs="Arial"/>
              </w:rPr>
              <w:br w:type="page"/>
            </w:r>
            <w:bookmarkStart w:id="44" w:name="Title_9" w:colFirst="0" w:colLast="0"/>
            <w:r w:rsidR="00405C6A" w:rsidRPr="00157E45">
              <w:rPr>
                <w:rFonts w:ascii="Arial" w:hAnsi="Arial" w:cs="Arial"/>
                <w:b/>
                <w:bCs/>
              </w:rPr>
              <w:t>Year</w:t>
            </w:r>
          </w:p>
        </w:tc>
        <w:tc>
          <w:tcPr>
            <w:tcW w:w="1417" w:type="dxa"/>
            <w:shd w:val="clear" w:color="auto" w:fill="D9D9D9" w:themeFill="background1" w:themeFillShade="D9"/>
          </w:tcPr>
          <w:p w14:paraId="14066427" w14:textId="0C4996B2" w:rsidR="00405C6A" w:rsidRPr="00157E45" w:rsidRDefault="001223F3" w:rsidP="007B190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New South Wales</w:t>
            </w:r>
          </w:p>
        </w:tc>
        <w:tc>
          <w:tcPr>
            <w:tcW w:w="1476" w:type="dxa"/>
            <w:shd w:val="clear" w:color="auto" w:fill="D9D9D9" w:themeFill="background1" w:themeFillShade="D9"/>
          </w:tcPr>
          <w:p w14:paraId="543CEDBB" w14:textId="1EEBE08C" w:rsidR="00405C6A" w:rsidRPr="00157E45" w:rsidRDefault="008A6DC4" w:rsidP="007B190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Queensland</w:t>
            </w:r>
          </w:p>
        </w:tc>
        <w:tc>
          <w:tcPr>
            <w:tcW w:w="1479" w:type="dxa"/>
            <w:shd w:val="clear" w:color="auto" w:fill="D9D9D9" w:themeFill="background1" w:themeFillShade="D9"/>
          </w:tcPr>
          <w:p w14:paraId="4078F64D" w14:textId="07735083" w:rsidR="00405C6A" w:rsidRPr="00157E45" w:rsidRDefault="008A6DC4" w:rsidP="007B190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Victoria</w:t>
            </w:r>
          </w:p>
        </w:tc>
        <w:tc>
          <w:tcPr>
            <w:tcW w:w="1285" w:type="dxa"/>
            <w:shd w:val="clear" w:color="auto" w:fill="D9D9D9" w:themeFill="background1" w:themeFillShade="D9"/>
          </w:tcPr>
          <w:p w14:paraId="7B8DB9DE" w14:textId="06DDF7B0" w:rsidR="00405C6A" w:rsidRPr="00157E45" w:rsidRDefault="00DD198E" w:rsidP="007B190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Western</w:t>
            </w:r>
            <w:r w:rsidR="001223F3" w:rsidRPr="00157E45">
              <w:rPr>
                <w:rFonts w:ascii="Arial" w:hAnsi="Arial" w:cs="Arial"/>
                <w:b/>
                <w:bCs/>
                <w:color w:val="000000" w:themeColor="text1"/>
                <w:sz w:val="22"/>
                <w:szCs w:val="22"/>
              </w:rPr>
              <w:t xml:space="preserve"> Australia</w:t>
            </w:r>
          </w:p>
        </w:tc>
        <w:tc>
          <w:tcPr>
            <w:tcW w:w="1285" w:type="dxa"/>
            <w:shd w:val="clear" w:color="auto" w:fill="D9D9D9" w:themeFill="background1" w:themeFillShade="D9"/>
          </w:tcPr>
          <w:p w14:paraId="072067F2" w14:textId="21477BCF" w:rsidR="00405C6A" w:rsidRPr="00157E45" w:rsidRDefault="00DD198E" w:rsidP="007B190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South</w:t>
            </w:r>
            <w:r w:rsidR="001223F3" w:rsidRPr="00157E45">
              <w:rPr>
                <w:rFonts w:ascii="Arial" w:hAnsi="Arial" w:cs="Arial"/>
                <w:b/>
                <w:bCs/>
                <w:color w:val="000000" w:themeColor="text1"/>
                <w:sz w:val="22"/>
                <w:szCs w:val="22"/>
              </w:rPr>
              <w:t xml:space="preserve"> Australia</w:t>
            </w:r>
          </w:p>
        </w:tc>
        <w:tc>
          <w:tcPr>
            <w:tcW w:w="1286" w:type="dxa"/>
            <w:shd w:val="clear" w:color="auto" w:fill="D9D9D9" w:themeFill="background1" w:themeFillShade="D9"/>
          </w:tcPr>
          <w:p w14:paraId="014070C8" w14:textId="530563F7" w:rsidR="00405C6A" w:rsidRPr="00157E45" w:rsidRDefault="001223F3" w:rsidP="007B190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Tasmania</w:t>
            </w:r>
          </w:p>
        </w:tc>
      </w:tr>
      <w:bookmarkEnd w:id="44"/>
      <w:tr w:rsidR="00DD198E" w:rsidRPr="00157E45" w14:paraId="48BD440A" w14:textId="77777777" w:rsidTr="00DD198E">
        <w:tc>
          <w:tcPr>
            <w:tcW w:w="846" w:type="dxa"/>
          </w:tcPr>
          <w:p w14:paraId="0E39AFFC" w14:textId="0FAEAF50"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2019</w:t>
            </w:r>
          </w:p>
        </w:tc>
        <w:tc>
          <w:tcPr>
            <w:tcW w:w="1417" w:type="dxa"/>
          </w:tcPr>
          <w:p w14:paraId="56211A22" w14:textId="3B884B1B"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122.6 million</w:t>
            </w:r>
          </w:p>
        </w:tc>
        <w:tc>
          <w:tcPr>
            <w:tcW w:w="1476" w:type="dxa"/>
          </w:tcPr>
          <w:p w14:paraId="4EF45E0C" w14:textId="6A81801B"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103.0 million</w:t>
            </w:r>
          </w:p>
        </w:tc>
        <w:tc>
          <w:tcPr>
            <w:tcW w:w="1479" w:type="dxa"/>
          </w:tcPr>
          <w:p w14:paraId="0FC8C815" w14:textId="5A90515C"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83.5 million</w:t>
            </w:r>
          </w:p>
        </w:tc>
        <w:tc>
          <w:tcPr>
            <w:tcW w:w="1285" w:type="dxa"/>
          </w:tcPr>
          <w:p w14:paraId="24B07950" w14:textId="30B38024"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50.2 million</w:t>
            </w:r>
          </w:p>
        </w:tc>
        <w:tc>
          <w:tcPr>
            <w:tcW w:w="1285" w:type="dxa"/>
          </w:tcPr>
          <w:p w14:paraId="212AC7EF" w14:textId="17E7099E"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27</w:t>
            </w:r>
            <w:r w:rsidR="00DD198E" w:rsidRPr="00157E45">
              <w:rPr>
                <w:rFonts w:ascii="Arial" w:hAnsi="Arial" w:cs="Arial"/>
              </w:rPr>
              <w:t>.</w:t>
            </w:r>
            <w:r w:rsidRPr="00157E45">
              <w:rPr>
                <w:rFonts w:ascii="Arial" w:hAnsi="Arial" w:cs="Arial"/>
              </w:rPr>
              <w:t>9</w:t>
            </w:r>
            <w:r w:rsidR="00DD198E" w:rsidRPr="00157E45">
              <w:rPr>
                <w:rFonts w:ascii="Arial" w:hAnsi="Arial" w:cs="Arial"/>
              </w:rPr>
              <w:t xml:space="preserve"> million</w:t>
            </w:r>
          </w:p>
        </w:tc>
        <w:tc>
          <w:tcPr>
            <w:tcW w:w="1286" w:type="dxa"/>
          </w:tcPr>
          <w:p w14:paraId="0144D573" w14:textId="6ACD0D18"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12.8 million</w:t>
            </w:r>
          </w:p>
        </w:tc>
      </w:tr>
      <w:tr w:rsidR="00DD198E" w:rsidRPr="00157E45" w14:paraId="3AAA9BE4" w14:textId="77777777" w:rsidTr="00DD198E">
        <w:tc>
          <w:tcPr>
            <w:tcW w:w="846" w:type="dxa"/>
          </w:tcPr>
          <w:p w14:paraId="1FE8145E" w14:textId="577C30BA"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2020</w:t>
            </w:r>
          </w:p>
        </w:tc>
        <w:tc>
          <w:tcPr>
            <w:tcW w:w="1417" w:type="dxa"/>
          </w:tcPr>
          <w:p w14:paraId="25622C32" w14:textId="526635B2"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83.8 million</w:t>
            </w:r>
          </w:p>
        </w:tc>
        <w:tc>
          <w:tcPr>
            <w:tcW w:w="1476" w:type="dxa"/>
          </w:tcPr>
          <w:p w14:paraId="42465008" w14:textId="302EE38D"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66.2 million</w:t>
            </w:r>
          </w:p>
        </w:tc>
        <w:tc>
          <w:tcPr>
            <w:tcW w:w="1479" w:type="dxa"/>
          </w:tcPr>
          <w:p w14:paraId="1E7922E4" w14:textId="7ECAA3BB"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46.2 million</w:t>
            </w:r>
          </w:p>
        </w:tc>
        <w:tc>
          <w:tcPr>
            <w:tcW w:w="1285" w:type="dxa"/>
          </w:tcPr>
          <w:p w14:paraId="283C5275" w14:textId="645DBE1E"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39.9 million</w:t>
            </w:r>
          </w:p>
        </w:tc>
        <w:tc>
          <w:tcPr>
            <w:tcW w:w="1285" w:type="dxa"/>
          </w:tcPr>
          <w:p w14:paraId="2D340CE0" w14:textId="50EF629F"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20</w:t>
            </w:r>
            <w:r w:rsidR="00DD198E" w:rsidRPr="00157E45">
              <w:rPr>
                <w:rFonts w:ascii="Arial" w:hAnsi="Arial" w:cs="Arial"/>
              </w:rPr>
              <w:t>.</w:t>
            </w:r>
            <w:r w:rsidRPr="00157E45">
              <w:rPr>
                <w:rFonts w:ascii="Arial" w:hAnsi="Arial" w:cs="Arial"/>
              </w:rPr>
              <w:t>0</w:t>
            </w:r>
            <w:r w:rsidR="00DD198E" w:rsidRPr="00157E45">
              <w:rPr>
                <w:rFonts w:ascii="Arial" w:hAnsi="Arial" w:cs="Arial"/>
              </w:rPr>
              <w:t xml:space="preserve"> million</w:t>
            </w:r>
          </w:p>
        </w:tc>
        <w:tc>
          <w:tcPr>
            <w:tcW w:w="1286" w:type="dxa"/>
          </w:tcPr>
          <w:p w14:paraId="40DEB3F5" w14:textId="5C3A43F1"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9.6 million</w:t>
            </w:r>
          </w:p>
        </w:tc>
      </w:tr>
      <w:tr w:rsidR="00DD198E" w:rsidRPr="00157E45" w14:paraId="5922FC80" w14:textId="77777777" w:rsidTr="00DD198E">
        <w:tc>
          <w:tcPr>
            <w:tcW w:w="846" w:type="dxa"/>
          </w:tcPr>
          <w:p w14:paraId="3E2B4428" w14:textId="480D96EC"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2021</w:t>
            </w:r>
          </w:p>
        </w:tc>
        <w:tc>
          <w:tcPr>
            <w:tcW w:w="1417" w:type="dxa"/>
          </w:tcPr>
          <w:p w14:paraId="1CE29391" w14:textId="4C63BFEA"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86.4 million</w:t>
            </w:r>
          </w:p>
        </w:tc>
        <w:tc>
          <w:tcPr>
            <w:tcW w:w="1476" w:type="dxa"/>
          </w:tcPr>
          <w:p w14:paraId="3B43DDC5" w14:textId="5067091D"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83.1 million</w:t>
            </w:r>
          </w:p>
        </w:tc>
        <w:tc>
          <w:tcPr>
            <w:tcW w:w="1479" w:type="dxa"/>
          </w:tcPr>
          <w:p w14:paraId="359F9BF8" w14:textId="7876179D"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57.0 million</w:t>
            </w:r>
          </w:p>
        </w:tc>
        <w:tc>
          <w:tcPr>
            <w:tcW w:w="1285" w:type="dxa"/>
          </w:tcPr>
          <w:p w14:paraId="472F44EC" w14:textId="48F04420"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47.5 million</w:t>
            </w:r>
          </w:p>
        </w:tc>
        <w:tc>
          <w:tcPr>
            <w:tcW w:w="1285" w:type="dxa"/>
          </w:tcPr>
          <w:p w14:paraId="7B73E4AD" w14:textId="6F592309"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22.6</w:t>
            </w:r>
            <w:r w:rsidR="00DD198E" w:rsidRPr="00157E45">
              <w:rPr>
                <w:rFonts w:ascii="Arial" w:hAnsi="Arial" w:cs="Arial"/>
              </w:rPr>
              <w:t xml:space="preserve"> million</w:t>
            </w:r>
          </w:p>
        </w:tc>
        <w:tc>
          <w:tcPr>
            <w:tcW w:w="1286" w:type="dxa"/>
          </w:tcPr>
          <w:p w14:paraId="2818C3F9" w14:textId="130D1330"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11.5 million</w:t>
            </w:r>
          </w:p>
        </w:tc>
      </w:tr>
      <w:tr w:rsidR="00DD198E" w:rsidRPr="00157E45" w14:paraId="1659422A" w14:textId="77777777" w:rsidTr="00DD198E">
        <w:tc>
          <w:tcPr>
            <w:tcW w:w="846" w:type="dxa"/>
          </w:tcPr>
          <w:p w14:paraId="2E3D9A8F" w14:textId="77A5C8EA"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2022</w:t>
            </w:r>
          </w:p>
        </w:tc>
        <w:tc>
          <w:tcPr>
            <w:tcW w:w="1417" w:type="dxa"/>
          </w:tcPr>
          <w:p w14:paraId="0C5F348C" w14:textId="2E19A6DB"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113.2 million</w:t>
            </w:r>
          </w:p>
        </w:tc>
        <w:tc>
          <w:tcPr>
            <w:tcW w:w="1476" w:type="dxa"/>
          </w:tcPr>
          <w:p w14:paraId="3B6F951C" w14:textId="693179F2"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105.6 million</w:t>
            </w:r>
          </w:p>
        </w:tc>
        <w:tc>
          <w:tcPr>
            <w:tcW w:w="1479" w:type="dxa"/>
          </w:tcPr>
          <w:p w14:paraId="42B81A21" w14:textId="1A8F194B"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77.3 million</w:t>
            </w:r>
          </w:p>
        </w:tc>
        <w:tc>
          <w:tcPr>
            <w:tcW w:w="1285" w:type="dxa"/>
          </w:tcPr>
          <w:p w14:paraId="2BCF3E5A" w14:textId="70ED86C3"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47.5 million</w:t>
            </w:r>
          </w:p>
        </w:tc>
        <w:tc>
          <w:tcPr>
            <w:tcW w:w="1285" w:type="dxa"/>
          </w:tcPr>
          <w:p w14:paraId="4897DEC8" w14:textId="1BF1CB37"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25</w:t>
            </w:r>
            <w:r w:rsidR="00DD198E" w:rsidRPr="00157E45">
              <w:rPr>
                <w:rFonts w:ascii="Arial" w:hAnsi="Arial" w:cs="Arial"/>
              </w:rPr>
              <w:t>.</w:t>
            </w:r>
            <w:r w:rsidRPr="00157E45">
              <w:rPr>
                <w:rFonts w:ascii="Arial" w:hAnsi="Arial" w:cs="Arial"/>
              </w:rPr>
              <w:t>9</w:t>
            </w:r>
            <w:r w:rsidR="00DD198E" w:rsidRPr="00157E45">
              <w:rPr>
                <w:rFonts w:ascii="Arial" w:hAnsi="Arial" w:cs="Arial"/>
              </w:rPr>
              <w:t xml:space="preserve"> million</w:t>
            </w:r>
          </w:p>
        </w:tc>
        <w:tc>
          <w:tcPr>
            <w:tcW w:w="1286" w:type="dxa"/>
          </w:tcPr>
          <w:p w14:paraId="054A8191" w14:textId="4B47BAA8"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12.3 million</w:t>
            </w:r>
          </w:p>
        </w:tc>
      </w:tr>
      <w:tr w:rsidR="00DD198E" w:rsidRPr="00157E45" w14:paraId="10A6527E" w14:textId="77777777" w:rsidTr="00DD198E">
        <w:tc>
          <w:tcPr>
            <w:tcW w:w="846" w:type="dxa"/>
          </w:tcPr>
          <w:p w14:paraId="794BF85B" w14:textId="41D99C16"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2023</w:t>
            </w:r>
          </w:p>
        </w:tc>
        <w:tc>
          <w:tcPr>
            <w:tcW w:w="1417" w:type="dxa"/>
          </w:tcPr>
          <w:p w14:paraId="7283B69D" w14:textId="05514A4E"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117.1 million</w:t>
            </w:r>
          </w:p>
        </w:tc>
        <w:tc>
          <w:tcPr>
            <w:tcW w:w="1476" w:type="dxa"/>
          </w:tcPr>
          <w:p w14:paraId="4201931B" w14:textId="626FA548"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97.1 million</w:t>
            </w:r>
          </w:p>
        </w:tc>
        <w:tc>
          <w:tcPr>
            <w:tcW w:w="1479" w:type="dxa"/>
          </w:tcPr>
          <w:p w14:paraId="51754634" w14:textId="5003C899"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83.5 million</w:t>
            </w:r>
          </w:p>
        </w:tc>
        <w:tc>
          <w:tcPr>
            <w:tcW w:w="1285" w:type="dxa"/>
          </w:tcPr>
          <w:p w14:paraId="1B13191A" w14:textId="23BCD7B7"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50.1 million</w:t>
            </w:r>
          </w:p>
        </w:tc>
        <w:tc>
          <w:tcPr>
            <w:tcW w:w="1285" w:type="dxa"/>
          </w:tcPr>
          <w:p w14:paraId="46B6B69D" w14:textId="750C3205"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25</w:t>
            </w:r>
            <w:r w:rsidR="00DD198E" w:rsidRPr="00157E45">
              <w:rPr>
                <w:rFonts w:ascii="Arial" w:hAnsi="Arial" w:cs="Arial"/>
              </w:rPr>
              <w:t>.</w:t>
            </w:r>
            <w:r w:rsidRPr="00157E45">
              <w:rPr>
                <w:rFonts w:ascii="Arial" w:hAnsi="Arial" w:cs="Arial"/>
              </w:rPr>
              <w:t>8</w:t>
            </w:r>
            <w:r w:rsidR="00DD198E" w:rsidRPr="00157E45">
              <w:rPr>
                <w:rFonts w:ascii="Arial" w:hAnsi="Arial" w:cs="Arial"/>
              </w:rPr>
              <w:t xml:space="preserve"> million</w:t>
            </w:r>
          </w:p>
        </w:tc>
        <w:tc>
          <w:tcPr>
            <w:tcW w:w="1286" w:type="dxa"/>
          </w:tcPr>
          <w:p w14:paraId="6A887967" w14:textId="52CA62C9"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12.</w:t>
            </w:r>
            <w:r w:rsidR="00D5131D" w:rsidRPr="00157E45">
              <w:rPr>
                <w:rFonts w:ascii="Arial" w:hAnsi="Arial" w:cs="Arial"/>
              </w:rPr>
              <w:t>6</w:t>
            </w:r>
            <w:r w:rsidRPr="00157E45">
              <w:rPr>
                <w:rFonts w:ascii="Arial" w:hAnsi="Arial" w:cs="Arial"/>
              </w:rPr>
              <w:t xml:space="preserve"> million</w:t>
            </w:r>
          </w:p>
        </w:tc>
      </w:tr>
      <w:tr w:rsidR="00DD198E" w:rsidRPr="00157E45" w14:paraId="0358498D" w14:textId="77777777" w:rsidTr="00DD198E">
        <w:tc>
          <w:tcPr>
            <w:tcW w:w="846" w:type="dxa"/>
          </w:tcPr>
          <w:p w14:paraId="57B758BB" w14:textId="7B5131EE"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2024</w:t>
            </w:r>
          </w:p>
        </w:tc>
        <w:tc>
          <w:tcPr>
            <w:tcW w:w="1417" w:type="dxa"/>
          </w:tcPr>
          <w:p w14:paraId="2FD3D72D" w14:textId="0AACAF9B"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114.8 million</w:t>
            </w:r>
          </w:p>
        </w:tc>
        <w:tc>
          <w:tcPr>
            <w:tcW w:w="1476" w:type="dxa"/>
          </w:tcPr>
          <w:p w14:paraId="6CF299A2" w14:textId="02341C9F"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98.1 million</w:t>
            </w:r>
          </w:p>
        </w:tc>
        <w:tc>
          <w:tcPr>
            <w:tcW w:w="1479" w:type="dxa"/>
          </w:tcPr>
          <w:p w14:paraId="31FCD636" w14:textId="699BD20C"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79.4 million</w:t>
            </w:r>
          </w:p>
        </w:tc>
        <w:tc>
          <w:tcPr>
            <w:tcW w:w="1285" w:type="dxa"/>
          </w:tcPr>
          <w:p w14:paraId="4BB2A0EB" w14:textId="1777112B"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48.9 million</w:t>
            </w:r>
          </w:p>
        </w:tc>
        <w:tc>
          <w:tcPr>
            <w:tcW w:w="1285" w:type="dxa"/>
          </w:tcPr>
          <w:p w14:paraId="1ED44644" w14:textId="68DF9DF0"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w:t>
            </w:r>
            <w:r w:rsidR="00DD198E" w:rsidRPr="00157E45">
              <w:rPr>
                <w:rFonts w:ascii="Arial" w:hAnsi="Arial" w:cs="Arial"/>
              </w:rPr>
              <w:t>5.</w:t>
            </w:r>
            <w:r w:rsidRPr="00157E45">
              <w:rPr>
                <w:rFonts w:ascii="Arial" w:hAnsi="Arial" w:cs="Arial"/>
              </w:rPr>
              <w:t>5</w:t>
            </w:r>
            <w:r w:rsidR="00DD198E" w:rsidRPr="00157E45">
              <w:rPr>
                <w:rFonts w:ascii="Arial" w:hAnsi="Arial" w:cs="Arial"/>
              </w:rPr>
              <w:t xml:space="preserve"> million</w:t>
            </w:r>
          </w:p>
        </w:tc>
        <w:tc>
          <w:tcPr>
            <w:tcW w:w="1286" w:type="dxa"/>
          </w:tcPr>
          <w:p w14:paraId="509871F3" w14:textId="6636786F"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12.</w:t>
            </w:r>
            <w:r w:rsidR="00D5131D" w:rsidRPr="00157E45">
              <w:rPr>
                <w:rFonts w:ascii="Arial" w:hAnsi="Arial" w:cs="Arial"/>
              </w:rPr>
              <w:t>8</w:t>
            </w:r>
            <w:r w:rsidRPr="00157E45">
              <w:rPr>
                <w:rFonts w:ascii="Arial" w:hAnsi="Arial" w:cs="Arial"/>
              </w:rPr>
              <w:t xml:space="preserve"> million</w:t>
            </w:r>
          </w:p>
        </w:tc>
      </w:tr>
      <w:tr w:rsidR="00DD198E" w:rsidRPr="00157E45" w14:paraId="45CE85B7" w14:textId="77777777" w:rsidTr="00DD198E">
        <w:tc>
          <w:tcPr>
            <w:tcW w:w="846" w:type="dxa"/>
          </w:tcPr>
          <w:p w14:paraId="6D0A6AA1" w14:textId="6EF74B7A"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2025</w:t>
            </w:r>
          </w:p>
        </w:tc>
        <w:tc>
          <w:tcPr>
            <w:tcW w:w="1417" w:type="dxa"/>
          </w:tcPr>
          <w:p w14:paraId="43A99C79" w14:textId="5F9976F3"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116.5 million</w:t>
            </w:r>
          </w:p>
        </w:tc>
        <w:tc>
          <w:tcPr>
            <w:tcW w:w="1476" w:type="dxa"/>
          </w:tcPr>
          <w:p w14:paraId="5CE49CB5" w14:textId="49F34BF7"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99.8 million</w:t>
            </w:r>
          </w:p>
        </w:tc>
        <w:tc>
          <w:tcPr>
            <w:tcW w:w="1479" w:type="dxa"/>
          </w:tcPr>
          <w:p w14:paraId="495CA1EC" w14:textId="376B3230"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80.5 million</w:t>
            </w:r>
          </w:p>
        </w:tc>
        <w:tc>
          <w:tcPr>
            <w:tcW w:w="1285" w:type="dxa"/>
          </w:tcPr>
          <w:p w14:paraId="01BCB03B" w14:textId="3918A34C"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49.9 million</w:t>
            </w:r>
          </w:p>
        </w:tc>
        <w:tc>
          <w:tcPr>
            <w:tcW w:w="1285" w:type="dxa"/>
          </w:tcPr>
          <w:p w14:paraId="3EC18493" w14:textId="257E0258"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27</w:t>
            </w:r>
            <w:r w:rsidR="00DD198E" w:rsidRPr="00157E45">
              <w:rPr>
                <w:rFonts w:ascii="Arial" w:hAnsi="Arial" w:cs="Arial"/>
              </w:rPr>
              <w:t>.</w:t>
            </w:r>
            <w:r w:rsidRPr="00157E45">
              <w:rPr>
                <w:rFonts w:ascii="Arial" w:hAnsi="Arial" w:cs="Arial"/>
              </w:rPr>
              <w:t>5</w:t>
            </w:r>
            <w:r w:rsidR="00DD198E" w:rsidRPr="00157E45">
              <w:rPr>
                <w:rFonts w:ascii="Arial" w:hAnsi="Arial" w:cs="Arial"/>
              </w:rPr>
              <w:t xml:space="preserve"> million</w:t>
            </w:r>
          </w:p>
        </w:tc>
        <w:tc>
          <w:tcPr>
            <w:tcW w:w="1286" w:type="dxa"/>
          </w:tcPr>
          <w:p w14:paraId="2107DDA3" w14:textId="7A15F74D"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w:t>
            </w:r>
            <w:r w:rsidR="00D5131D" w:rsidRPr="00157E45">
              <w:rPr>
                <w:rFonts w:ascii="Arial" w:hAnsi="Arial" w:cs="Arial"/>
              </w:rPr>
              <w:t>3</w:t>
            </w:r>
            <w:r w:rsidRPr="00157E45">
              <w:rPr>
                <w:rFonts w:ascii="Arial" w:hAnsi="Arial" w:cs="Arial"/>
              </w:rPr>
              <w:t>.</w:t>
            </w:r>
            <w:r w:rsidR="00D5131D" w:rsidRPr="00157E45">
              <w:rPr>
                <w:rFonts w:ascii="Arial" w:hAnsi="Arial" w:cs="Arial"/>
              </w:rPr>
              <w:t xml:space="preserve">1 </w:t>
            </w:r>
            <w:r w:rsidRPr="00157E45">
              <w:rPr>
                <w:rFonts w:ascii="Arial" w:hAnsi="Arial" w:cs="Arial"/>
              </w:rPr>
              <w:t>million</w:t>
            </w:r>
          </w:p>
        </w:tc>
      </w:tr>
      <w:tr w:rsidR="00DD198E" w:rsidRPr="00157E45" w14:paraId="2D17CFA6" w14:textId="77777777" w:rsidTr="00DD198E">
        <w:tc>
          <w:tcPr>
            <w:tcW w:w="846" w:type="dxa"/>
          </w:tcPr>
          <w:p w14:paraId="1EEC8C9B" w14:textId="4607E157"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2026</w:t>
            </w:r>
          </w:p>
        </w:tc>
        <w:tc>
          <w:tcPr>
            <w:tcW w:w="1417" w:type="dxa"/>
          </w:tcPr>
          <w:p w14:paraId="73DAE8F4" w14:textId="6EEBCE13"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121.1 million</w:t>
            </w:r>
          </w:p>
        </w:tc>
        <w:tc>
          <w:tcPr>
            <w:tcW w:w="1476" w:type="dxa"/>
          </w:tcPr>
          <w:p w14:paraId="3027BFE5" w14:textId="1E7D076E"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103.9 million</w:t>
            </w:r>
          </w:p>
        </w:tc>
        <w:tc>
          <w:tcPr>
            <w:tcW w:w="1479" w:type="dxa"/>
          </w:tcPr>
          <w:p w14:paraId="7FF9735A" w14:textId="5773DEB8"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83.5 million</w:t>
            </w:r>
          </w:p>
        </w:tc>
        <w:tc>
          <w:tcPr>
            <w:tcW w:w="1285" w:type="dxa"/>
          </w:tcPr>
          <w:p w14:paraId="1FCB489F" w14:textId="3CE2F588"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51.7 million</w:t>
            </w:r>
          </w:p>
        </w:tc>
        <w:tc>
          <w:tcPr>
            <w:tcW w:w="1285" w:type="dxa"/>
          </w:tcPr>
          <w:p w14:paraId="54ADB83A" w14:textId="491B5578"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26</w:t>
            </w:r>
            <w:r w:rsidR="00DD198E" w:rsidRPr="00157E45">
              <w:rPr>
                <w:rFonts w:ascii="Arial" w:hAnsi="Arial" w:cs="Arial"/>
              </w:rPr>
              <w:t>.</w:t>
            </w:r>
            <w:r w:rsidRPr="00157E45">
              <w:rPr>
                <w:rFonts w:ascii="Arial" w:hAnsi="Arial" w:cs="Arial"/>
              </w:rPr>
              <w:t>6</w:t>
            </w:r>
            <w:r w:rsidR="00DD198E" w:rsidRPr="00157E45">
              <w:rPr>
                <w:rFonts w:ascii="Arial" w:hAnsi="Arial" w:cs="Arial"/>
              </w:rPr>
              <w:t xml:space="preserve"> million</w:t>
            </w:r>
          </w:p>
        </w:tc>
        <w:tc>
          <w:tcPr>
            <w:tcW w:w="1286" w:type="dxa"/>
          </w:tcPr>
          <w:p w14:paraId="27817951" w14:textId="1C3BC5EF"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13.</w:t>
            </w:r>
            <w:r w:rsidR="00093F69" w:rsidRPr="00157E45">
              <w:rPr>
                <w:rFonts w:ascii="Arial" w:hAnsi="Arial" w:cs="Arial"/>
              </w:rPr>
              <w:t>5</w:t>
            </w:r>
            <w:r w:rsidRPr="00157E45">
              <w:rPr>
                <w:rFonts w:ascii="Arial" w:hAnsi="Arial" w:cs="Arial"/>
              </w:rPr>
              <w:t xml:space="preserve"> million</w:t>
            </w:r>
          </w:p>
        </w:tc>
      </w:tr>
      <w:tr w:rsidR="00DD198E" w:rsidRPr="00157E45" w14:paraId="09C55935" w14:textId="77777777" w:rsidTr="00DD198E">
        <w:tc>
          <w:tcPr>
            <w:tcW w:w="846" w:type="dxa"/>
          </w:tcPr>
          <w:p w14:paraId="0585E821" w14:textId="51F1AD77"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rPr>
              <w:t>2027</w:t>
            </w:r>
          </w:p>
        </w:tc>
        <w:tc>
          <w:tcPr>
            <w:tcW w:w="1417" w:type="dxa"/>
          </w:tcPr>
          <w:p w14:paraId="7D26DEC6" w14:textId="7D27E7B2"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126.6 million</w:t>
            </w:r>
          </w:p>
        </w:tc>
        <w:tc>
          <w:tcPr>
            <w:tcW w:w="1476" w:type="dxa"/>
          </w:tcPr>
          <w:p w14:paraId="573D5940" w14:textId="5A3CFC43"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108.6 million</w:t>
            </w:r>
          </w:p>
        </w:tc>
        <w:tc>
          <w:tcPr>
            <w:tcW w:w="1479" w:type="dxa"/>
          </w:tcPr>
          <w:p w14:paraId="6795C7E3" w14:textId="6A59498A"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87.5 million</w:t>
            </w:r>
          </w:p>
        </w:tc>
        <w:tc>
          <w:tcPr>
            <w:tcW w:w="1285" w:type="dxa"/>
          </w:tcPr>
          <w:p w14:paraId="78222EEC" w14:textId="686E82E0"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53.9 million</w:t>
            </w:r>
          </w:p>
        </w:tc>
        <w:tc>
          <w:tcPr>
            <w:tcW w:w="1285" w:type="dxa"/>
          </w:tcPr>
          <w:p w14:paraId="526EFD4F" w14:textId="7911B46E" w:rsidR="00DD198E" w:rsidRPr="00157E45" w:rsidRDefault="00B60540" w:rsidP="00DD198E">
            <w:pPr>
              <w:spacing w:after="120"/>
              <w:rPr>
                <w:rFonts w:ascii="Arial" w:hAnsi="Arial" w:cs="Arial"/>
                <w:color w:val="000000" w:themeColor="text1"/>
                <w:sz w:val="22"/>
                <w:szCs w:val="22"/>
              </w:rPr>
            </w:pPr>
            <w:r w:rsidRPr="00157E45">
              <w:rPr>
                <w:rFonts w:ascii="Arial" w:hAnsi="Arial" w:cs="Arial"/>
              </w:rPr>
              <w:t>27</w:t>
            </w:r>
            <w:r w:rsidR="00DD198E" w:rsidRPr="00157E45">
              <w:rPr>
                <w:rFonts w:ascii="Arial" w:hAnsi="Arial" w:cs="Arial"/>
              </w:rPr>
              <w:t>.8 million</w:t>
            </w:r>
          </w:p>
        </w:tc>
        <w:tc>
          <w:tcPr>
            <w:tcW w:w="1286" w:type="dxa"/>
          </w:tcPr>
          <w:p w14:paraId="06F896FF" w14:textId="5D1C7864"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w:t>
            </w:r>
            <w:r w:rsidR="00093F69" w:rsidRPr="00157E45">
              <w:rPr>
                <w:rFonts w:ascii="Arial" w:hAnsi="Arial" w:cs="Arial"/>
              </w:rPr>
              <w:t>4</w:t>
            </w:r>
            <w:r w:rsidRPr="00157E45">
              <w:rPr>
                <w:rFonts w:ascii="Arial" w:hAnsi="Arial" w:cs="Arial"/>
              </w:rPr>
              <w:t>.</w:t>
            </w:r>
            <w:r w:rsidR="00093F69" w:rsidRPr="00157E45">
              <w:rPr>
                <w:rFonts w:ascii="Arial" w:hAnsi="Arial" w:cs="Arial"/>
              </w:rPr>
              <w:t>0</w:t>
            </w:r>
            <w:r w:rsidRPr="00157E45">
              <w:rPr>
                <w:rFonts w:ascii="Arial" w:hAnsi="Arial" w:cs="Arial"/>
              </w:rPr>
              <w:t xml:space="preserve"> million</w:t>
            </w:r>
          </w:p>
        </w:tc>
      </w:tr>
      <w:tr w:rsidR="00DD198E" w:rsidRPr="00157E45" w14:paraId="78B49AB4" w14:textId="77777777" w:rsidTr="00DD198E">
        <w:tc>
          <w:tcPr>
            <w:tcW w:w="846" w:type="dxa"/>
          </w:tcPr>
          <w:p w14:paraId="72FBEBF1" w14:textId="62139A5B" w:rsidR="00DD198E" w:rsidRPr="00157E45" w:rsidRDefault="00DD198E" w:rsidP="00DD198E">
            <w:pPr>
              <w:spacing w:after="120"/>
              <w:rPr>
                <w:rFonts w:ascii="Arial" w:hAnsi="Arial" w:cs="Arial"/>
                <w:b/>
                <w:bCs/>
                <w:color w:val="000000" w:themeColor="text1"/>
                <w:sz w:val="22"/>
                <w:szCs w:val="22"/>
              </w:rPr>
            </w:pPr>
            <w:r w:rsidRPr="00157E45">
              <w:rPr>
                <w:rFonts w:ascii="Arial" w:hAnsi="Arial" w:cs="Arial"/>
                <w:b/>
                <w:bCs/>
                <w:color w:val="000000" w:themeColor="text1"/>
                <w:sz w:val="22"/>
                <w:szCs w:val="22"/>
              </w:rPr>
              <w:t>2028</w:t>
            </w:r>
          </w:p>
        </w:tc>
        <w:tc>
          <w:tcPr>
            <w:tcW w:w="1417" w:type="dxa"/>
          </w:tcPr>
          <w:p w14:paraId="45976467" w14:textId="6FB6E91E"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131.4 million</w:t>
            </w:r>
          </w:p>
        </w:tc>
        <w:tc>
          <w:tcPr>
            <w:tcW w:w="1476" w:type="dxa"/>
          </w:tcPr>
          <w:p w14:paraId="5BF393F7" w14:textId="3D105C0A"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112.9 million</w:t>
            </w:r>
          </w:p>
        </w:tc>
        <w:tc>
          <w:tcPr>
            <w:tcW w:w="1479" w:type="dxa"/>
          </w:tcPr>
          <w:p w14:paraId="2A804EB0" w14:textId="6E165EE8"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90.7 million</w:t>
            </w:r>
          </w:p>
        </w:tc>
        <w:tc>
          <w:tcPr>
            <w:tcW w:w="1285" w:type="dxa"/>
          </w:tcPr>
          <w:p w14:paraId="17577541" w14:textId="3EEF19DA"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55.8 million</w:t>
            </w:r>
          </w:p>
        </w:tc>
        <w:tc>
          <w:tcPr>
            <w:tcW w:w="1285" w:type="dxa"/>
          </w:tcPr>
          <w:p w14:paraId="113A04C0" w14:textId="2A7D5FE2" w:rsidR="00DD198E" w:rsidRPr="00157E45" w:rsidRDefault="00D5131D" w:rsidP="00DD198E">
            <w:pPr>
              <w:spacing w:after="120"/>
              <w:rPr>
                <w:rFonts w:ascii="Arial" w:hAnsi="Arial" w:cs="Arial"/>
                <w:color w:val="000000" w:themeColor="text1"/>
                <w:sz w:val="22"/>
                <w:szCs w:val="22"/>
              </w:rPr>
            </w:pPr>
            <w:r w:rsidRPr="00157E45">
              <w:rPr>
                <w:rFonts w:ascii="Arial" w:hAnsi="Arial" w:cs="Arial"/>
              </w:rPr>
              <w:t>28</w:t>
            </w:r>
            <w:r w:rsidR="00DD198E" w:rsidRPr="00157E45">
              <w:rPr>
                <w:rFonts w:ascii="Arial" w:hAnsi="Arial" w:cs="Arial"/>
              </w:rPr>
              <w:t>.</w:t>
            </w:r>
            <w:r w:rsidRPr="00157E45">
              <w:rPr>
                <w:rFonts w:ascii="Arial" w:hAnsi="Arial" w:cs="Arial"/>
              </w:rPr>
              <w:t>7</w:t>
            </w:r>
            <w:r w:rsidR="00DD198E" w:rsidRPr="00157E45">
              <w:rPr>
                <w:rFonts w:ascii="Arial" w:hAnsi="Arial" w:cs="Arial"/>
              </w:rPr>
              <w:t xml:space="preserve"> million</w:t>
            </w:r>
          </w:p>
        </w:tc>
        <w:tc>
          <w:tcPr>
            <w:tcW w:w="1286" w:type="dxa"/>
          </w:tcPr>
          <w:p w14:paraId="79D4EDD2" w14:textId="10641127"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w:t>
            </w:r>
            <w:r w:rsidR="00093F69" w:rsidRPr="00157E45">
              <w:rPr>
                <w:rFonts w:ascii="Arial" w:hAnsi="Arial" w:cs="Arial"/>
              </w:rPr>
              <w:t>4</w:t>
            </w:r>
            <w:r w:rsidRPr="00157E45">
              <w:rPr>
                <w:rFonts w:ascii="Arial" w:hAnsi="Arial" w:cs="Arial"/>
              </w:rPr>
              <w:t>.</w:t>
            </w:r>
            <w:r w:rsidR="00093F69" w:rsidRPr="00157E45">
              <w:rPr>
                <w:rFonts w:ascii="Arial" w:hAnsi="Arial" w:cs="Arial"/>
              </w:rPr>
              <w:t>4</w:t>
            </w:r>
            <w:r w:rsidRPr="00157E45">
              <w:rPr>
                <w:rFonts w:ascii="Arial" w:hAnsi="Arial" w:cs="Arial"/>
              </w:rPr>
              <w:t xml:space="preserve"> million</w:t>
            </w:r>
          </w:p>
        </w:tc>
      </w:tr>
      <w:tr w:rsidR="00DD198E" w:rsidRPr="00157E45" w14:paraId="7228D77B" w14:textId="77777777" w:rsidTr="00DD198E">
        <w:tc>
          <w:tcPr>
            <w:tcW w:w="846" w:type="dxa"/>
          </w:tcPr>
          <w:p w14:paraId="564D5A58" w14:textId="0BB0948B" w:rsidR="00DD198E" w:rsidRPr="00157E45" w:rsidRDefault="00DD198E" w:rsidP="00DD198E">
            <w:pPr>
              <w:spacing w:after="120"/>
              <w:rPr>
                <w:rFonts w:ascii="Arial" w:hAnsi="Arial" w:cs="Arial"/>
                <w:b/>
                <w:bCs/>
              </w:rPr>
            </w:pPr>
            <w:r w:rsidRPr="00157E45">
              <w:rPr>
                <w:rFonts w:ascii="Arial" w:hAnsi="Arial" w:cs="Arial"/>
                <w:b/>
                <w:bCs/>
              </w:rPr>
              <w:t>2029</w:t>
            </w:r>
          </w:p>
        </w:tc>
        <w:tc>
          <w:tcPr>
            <w:tcW w:w="1417" w:type="dxa"/>
          </w:tcPr>
          <w:p w14:paraId="708FD368" w14:textId="1CDCF9C0"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135.8 million</w:t>
            </w:r>
          </w:p>
        </w:tc>
        <w:tc>
          <w:tcPr>
            <w:tcW w:w="1476" w:type="dxa"/>
          </w:tcPr>
          <w:p w14:paraId="58AE3D22" w14:textId="36DA2C76"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116.6 million</w:t>
            </w:r>
          </w:p>
        </w:tc>
        <w:tc>
          <w:tcPr>
            <w:tcW w:w="1479" w:type="dxa"/>
          </w:tcPr>
          <w:p w14:paraId="2F6C2109" w14:textId="07597763"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93.6 million</w:t>
            </w:r>
          </w:p>
        </w:tc>
        <w:tc>
          <w:tcPr>
            <w:tcW w:w="1285" w:type="dxa"/>
          </w:tcPr>
          <w:p w14:paraId="623C2E62" w14:textId="743B4200"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57.5 million</w:t>
            </w:r>
          </w:p>
        </w:tc>
        <w:tc>
          <w:tcPr>
            <w:tcW w:w="1285" w:type="dxa"/>
          </w:tcPr>
          <w:p w14:paraId="39CC56D2" w14:textId="379C0B3F" w:rsidR="00DD198E" w:rsidRPr="00157E45" w:rsidRDefault="00D5131D" w:rsidP="00DD198E">
            <w:pPr>
              <w:spacing w:after="120"/>
              <w:rPr>
                <w:rFonts w:ascii="Arial" w:hAnsi="Arial" w:cs="Arial"/>
                <w:color w:val="000000" w:themeColor="text1"/>
                <w:sz w:val="22"/>
                <w:szCs w:val="22"/>
              </w:rPr>
            </w:pPr>
            <w:r w:rsidRPr="00157E45">
              <w:rPr>
                <w:rFonts w:ascii="Arial" w:hAnsi="Arial" w:cs="Arial"/>
              </w:rPr>
              <w:t>29</w:t>
            </w:r>
            <w:r w:rsidR="00DD198E" w:rsidRPr="00157E45">
              <w:rPr>
                <w:rFonts w:ascii="Arial" w:hAnsi="Arial" w:cs="Arial"/>
              </w:rPr>
              <w:t>.</w:t>
            </w:r>
            <w:r w:rsidRPr="00157E45">
              <w:rPr>
                <w:rFonts w:ascii="Arial" w:hAnsi="Arial" w:cs="Arial"/>
              </w:rPr>
              <w:t>6</w:t>
            </w:r>
            <w:r w:rsidR="00DD198E" w:rsidRPr="00157E45">
              <w:rPr>
                <w:rFonts w:ascii="Arial" w:hAnsi="Arial" w:cs="Arial"/>
              </w:rPr>
              <w:t xml:space="preserve"> million</w:t>
            </w:r>
          </w:p>
        </w:tc>
        <w:tc>
          <w:tcPr>
            <w:tcW w:w="1286" w:type="dxa"/>
          </w:tcPr>
          <w:p w14:paraId="6F2B7B5F" w14:textId="04441FC2" w:rsidR="00DD198E" w:rsidRPr="00157E45" w:rsidRDefault="00DD198E" w:rsidP="00DD198E">
            <w:pPr>
              <w:spacing w:after="120"/>
              <w:rPr>
                <w:rFonts w:ascii="Arial" w:hAnsi="Arial" w:cs="Arial"/>
                <w:color w:val="000000" w:themeColor="text1"/>
                <w:sz w:val="22"/>
                <w:szCs w:val="22"/>
              </w:rPr>
            </w:pPr>
            <w:r w:rsidRPr="00157E45">
              <w:rPr>
                <w:rFonts w:ascii="Arial" w:hAnsi="Arial" w:cs="Arial"/>
              </w:rPr>
              <w:t>1</w:t>
            </w:r>
            <w:r w:rsidR="00093F69" w:rsidRPr="00157E45">
              <w:rPr>
                <w:rFonts w:ascii="Arial" w:hAnsi="Arial" w:cs="Arial"/>
              </w:rPr>
              <w:t>4</w:t>
            </w:r>
            <w:r w:rsidRPr="00157E45">
              <w:rPr>
                <w:rFonts w:ascii="Arial" w:hAnsi="Arial" w:cs="Arial"/>
              </w:rPr>
              <w:t>.</w:t>
            </w:r>
            <w:r w:rsidR="00093F69" w:rsidRPr="00157E45">
              <w:rPr>
                <w:rFonts w:ascii="Arial" w:hAnsi="Arial" w:cs="Arial"/>
              </w:rPr>
              <w:t>7</w:t>
            </w:r>
            <w:r w:rsidRPr="00157E45">
              <w:rPr>
                <w:rFonts w:ascii="Arial" w:hAnsi="Arial" w:cs="Arial"/>
              </w:rPr>
              <w:t xml:space="preserve"> million</w:t>
            </w:r>
          </w:p>
        </w:tc>
      </w:tr>
    </w:tbl>
    <w:p w14:paraId="783C8610" w14:textId="557CBBD4" w:rsidR="00292258" w:rsidRPr="00157E45" w:rsidRDefault="00E2292A" w:rsidP="00292258">
      <w:pPr>
        <w:pStyle w:val="Heading1"/>
        <w:rPr>
          <w:rFonts w:ascii="Arial" w:hAnsi="Arial" w:cs="Arial"/>
        </w:rPr>
      </w:pPr>
      <w:bookmarkStart w:id="45" w:name="_Toc184116528"/>
      <w:r w:rsidRPr="00157E45">
        <w:rPr>
          <w:rFonts w:ascii="Arial" w:hAnsi="Arial" w:cs="Arial"/>
        </w:rPr>
        <w:t xml:space="preserve">8.0 </w:t>
      </w:r>
      <w:r w:rsidR="00292258" w:rsidRPr="00157E45">
        <w:rPr>
          <w:rFonts w:ascii="Arial" w:hAnsi="Arial" w:cs="Arial"/>
        </w:rPr>
        <w:t>International visitor forecasts for Victoria</w:t>
      </w:r>
      <w:bookmarkEnd w:id="45"/>
    </w:p>
    <w:p w14:paraId="488F4927" w14:textId="77777777" w:rsidR="00B8732F" w:rsidRPr="00157E45" w:rsidRDefault="00B8732F" w:rsidP="00B8732F">
      <w:pPr>
        <w:rPr>
          <w:rFonts w:ascii="Arial" w:hAnsi="Arial" w:cs="Arial"/>
          <w:sz w:val="4"/>
          <w:szCs w:val="4"/>
        </w:rPr>
      </w:pPr>
    </w:p>
    <w:p w14:paraId="21F07877" w14:textId="53BE59FE" w:rsidR="00AB735F" w:rsidRPr="00157E45" w:rsidRDefault="006B0177" w:rsidP="00B728C0">
      <w:pPr>
        <w:pStyle w:val="ListParagraph"/>
        <w:numPr>
          <w:ilvl w:val="0"/>
          <w:numId w:val="4"/>
        </w:numPr>
        <w:rPr>
          <w:rFonts w:ascii="Arial" w:hAnsi="Arial" w:cs="Arial"/>
          <w:sz w:val="22"/>
          <w:szCs w:val="22"/>
        </w:rPr>
      </w:pPr>
      <w:r w:rsidRPr="0060536E">
        <w:rPr>
          <w:rFonts w:ascii="Arial" w:hAnsi="Arial" w:cs="Arial"/>
          <w:sz w:val="22"/>
          <w:szCs w:val="22"/>
        </w:rPr>
        <w:t xml:space="preserve">The forecast for international visitors has been revised downward due to </w:t>
      </w:r>
      <w:r w:rsidR="00941F42" w:rsidRPr="0060536E">
        <w:rPr>
          <w:rFonts w:ascii="Arial" w:hAnsi="Arial" w:cs="Arial"/>
          <w:sz w:val="22"/>
          <w:szCs w:val="22"/>
        </w:rPr>
        <w:t xml:space="preserve">potential </w:t>
      </w:r>
      <w:r w:rsidRPr="0060536E">
        <w:rPr>
          <w:rFonts w:ascii="Arial" w:hAnsi="Arial" w:cs="Arial"/>
          <w:sz w:val="22"/>
          <w:szCs w:val="22"/>
        </w:rPr>
        <w:t>education policy changes,</w:t>
      </w:r>
      <w:r w:rsidRPr="00157E45">
        <w:rPr>
          <w:rFonts w:ascii="Arial" w:hAnsi="Arial" w:cs="Arial"/>
          <w:sz w:val="22"/>
          <w:szCs w:val="22"/>
        </w:rPr>
        <w:t xml:space="preserve"> the slower recovery of Chinese visitation, global economic instability, geopolitical conflicts, and ongoing disruptions in supply chains, aviation, and labour markets</w:t>
      </w:r>
      <w:r w:rsidR="00AB735F" w:rsidRPr="00157E45">
        <w:rPr>
          <w:rFonts w:ascii="Arial" w:hAnsi="Arial" w:cs="Arial"/>
          <w:sz w:val="22"/>
          <w:szCs w:val="22"/>
        </w:rPr>
        <w:t>.</w:t>
      </w:r>
    </w:p>
    <w:p w14:paraId="69784054" w14:textId="394D9F62" w:rsidR="00292258" w:rsidRPr="00157E45" w:rsidRDefault="00DE643D" w:rsidP="00B728C0">
      <w:pPr>
        <w:pStyle w:val="ListParagraph"/>
        <w:numPr>
          <w:ilvl w:val="0"/>
          <w:numId w:val="4"/>
        </w:numPr>
        <w:rPr>
          <w:rFonts w:ascii="Arial" w:hAnsi="Arial" w:cs="Arial"/>
          <w:sz w:val="22"/>
          <w:szCs w:val="22"/>
        </w:rPr>
      </w:pPr>
      <w:r w:rsidRPr="00157E45">
        <w:rPr>
          <w:rFonts w:ascii="Arial" w:hAnsi="Arial" w:cs="Arial"/>
          <w:sz w:val="22"/>
          <w:szCs w:val="22"/>
        </w:rPr>
        <w:t>Arrivals to Victoria are now expected to surpass 2019 levels by 2026 at 3.3 million (previously forecast to recover by late 2024)</w:t>
      </w:r>
      <w:r w:rsidR="00B728C0" w:rsidRPr="00157E45">
        <w:rPr>
          <w:rFonts w:ascii="Arial" w:hAnsi="Arial" w:cs="Arial"/>
          <w:sz w:val="22"/>
          <w:szCs w:val="22"/>
        </w:rPr>
        <w:t>.</w:t>
      </w:r>
    </w:p>
    <w:p w14:paraId="4868A768" w14:textId="4B855927" w:rsidR="00065FD1" w:rsidRPr="00157E45" w:rsidRDefault="00D57232" w:rsidP="00065FD1">
      <w:pPr>
        <w:pStyle w:val="ListParagraph"/>
        <w:numPr>
          <w:ilvl w:val="0"/>
          <w:numId w:val="4"/>
        </w:numPr>
        <w:rPr>
          <w:rFonts w:ascii="Arial" w:hAnsi="Arial" w:cs="Arial"/>
          <w:sz w:val="22"/>
          <w:szCs w:val="22"/>
        </w:rPr>
      </w:pPr>
      <w:r w:rsidRPr="00157E45">
        <w:rPr>
          <w:rFonts w:ascii="Arial" w:hAnsi="Arial" w:cs="Arial"/>
          <w:sz w:val="22"/>
          <w:szCs w:val="22"/>
        </w:rPr>
        <w:t>International visitors to Victoria are projected to increase to 3.9 million in 2029 with growth of 7.6% per annum in the next 5 years, above the national growth rate of 7.2% due to Victoria's unique mix of international markets</w:t>
      </w:r>
      <w:r w:rsidR="00065FD1" w:rsidRPr="00157E45">
        <w:rPr>
          <w:rFonts w:ascii="Arial" w:hAnsi="Arial" w:cs="Arial"/>
          <w:sz w:val="22"/>
          <w:szCs w:val="22"/>
        </w:rPr>
        <w:t>.</w:t>
      </w:r>
    </w:p>
    <w:p w14:paraId="62FBDC59" w14:textId="57980836" w:rsidR="00065FD1" w:rsidRPr="00157E45" w:rsidRDefault="000D1F3A" w:rsidP="00065FD1">
      <w:pPr>
        <w:pStyle w:val="ListParagraph"/>
        <w:numPr>
          <w:ilvl w:val="0"/>
          <w:numId w:val="4"/>
        </w:numPr>
        <w:rPr>
          <w:rFonts w:ascii="Arial" w:hAnsi="Arial" w:cs="Arial"/>
          <w:sz w:val="22"/>
          <w:szCs w:val="22"/>
        </w:rPr>
      </w:pPr>
      <w:r w:rsidRPr="00157E45">
        <w:rPr>
          <w:rFonts w:ascii="Arial" w:hAnsi="Arial" w:cs="Arial"/>
          <w:sz w:val="22"/>
          <w:szCs w:val="22"/>
        </w:rPr>
        <w:t>An estimated 1 in 5 international overnight visitors is projected to come from China by 2029</w:t>
      </w:r>
      <w:r w:rsidR="00065FD1" w:rsidRPr="00157E45">
        <w:rPr>
          <w:rFonts w:ascii="Arial" w:hAnsi="Arial" w:cs="Arial"/>
          <w:sz w:val="22"/>
          <w:szCs w:val="22"/>
        </w:rPr>
        <w:t>.</w:t>
      </w:r>
    </w:p>
    <w:p w14:paraId="1456D82A" w14:textId="413C5793" w:rsidR="00386A00" w:rsidRPr="00157E45" w:rsidRDefault="00C52092" w:rsidP="00F46E8C">
      <w:pPr>
        <w:pStyle w:val="ListParagraph"/>
        <w:numPr>
          <w:ilvl w:val="0"/>
          <w:numId w:val="4"/>
        </w:numPr>
        <w:rPr>
          <w:rFonts w:ascii="Arial" w:hAnsi="Arial" w:cs="Arial"/>
          <w:sz w:val="22"/>
          <w:szCs w:val="22"/>
        </w:rPr>
      </w:pPr>
      <w:r w:rsidRPr="00157E45">
        <w:rPr>
          <w:rFonts w:ascii="Arial" w:hAnsi="Arial" w:cs="Arial"/>
          <w:sz w:val="22"/>
          <w:szCs w:val="22"/>
        </w:rPr>
        <w:t>A return to 2019 levels of Chinese visitation in Victoria is not expected until 2027, however was previously forecast for 2024. The composition of Chinese visitors is expected to shift, with holiday visitors accounting for a larger share of the visitor mix, increasing from 41% in 2024 to 54% by 2029. Conversely, the share of students is projected to decline from 22% in 2024 to 17% in 2029</w:t>
      </w:r>
      <w:r w:rsidR="00065FD1" w:rsidRPr="00157E45">
        <w:rPr>
          <w:rFonts w:ascii="Arial" w:hAnsi="Arial" w:cs="Arial"/>
          <w:sz w:val="22"/>
          <w:szCs w:val="22"/>
        </w:rPr>
        <w:t>.</w:t>
      </w:r>
    </w:p>
    <w:p w14:paraId="337A2F80" w14:textId="72CD7FA7" w:rsidR="00065FD1" w:rsidRPr="00157E45" w:rsidRDefault="006B4F04" w:rsidP="00386A00">
      <w:pPr>
        <w:pStyle w:val="ListParagraph"/>
        <w:numPr>
          <w:ilvl w:val="0"/>
          <w:numId w:val="4"/>
        </w:numPr>
        <w:rPr>
          <w:rFonts w:ascii="Arial" w:hAnsi="Arial" w:cs="Arial"/>
          <w:sz w:val="22"/>
          <w:szCs w:val="22"/>
        </w:rPr>
      </w:pPr>
      <w:r w:rsidRPr="00157E45">
        <w:rPr>
          <w:rFonts w:ascii="Arial" w:hAnsi="Arial" w:cs="Arial"/>
          <w:sz w:val="22"/>
          <w:szCs w:val="22"/>
        </w:rPr>
        <w:t>A number of Asian growth numbers are projected to be above 2019 levels in 2024 including India, Singapore, South Korea, Taiwan and Thailand</w:t>
      </w:r>
      <w:r w:rsidR="00386A00" w:rsidRPr="00157E45">
        <w:rPr>
          <w:rFonts w:ascii="Arial" w:hAnsi="Arial" w:cs="Arial"/>
          <w:sz w:val="22"/>
          <w:szCs w:val="22"/>
        </w:rPr>
        <w:t>.</w:t>
      </w:r>
    </w:p>
    <w:p w14:paraId="24DAFC89" w14:textId="06797AF6" w:rsidR="004076C5" w:rsidRPr="00157E45" w:rsidRDefault="008C57F1" w:rsidP="00065FD1">
      <w:pPr>
        <w:pStyle w:val="ListParagraph"/>
        <w:numPr>
          <w:ilvl w:val="0"/>
          <w:numId w:val="4"/>
        </w:numPr>
        <w:rPr>
          <w:rFonts w:ascii="Arial" w:hAnsi="Arial" w:cs="Arial"/>
          <w:sz w:val="22"/>
          <w:szCs w:val="22"/>
        </w:rPr>
      </w:pPr>
      <w:r w:rsidRPr="00157E45">
        <w:rPr>
          <w:rFonts w:ascii="Arial" w:hAnsi="Arial" w:cs="Arial"/>
          <w:sz w:val="22"/>
          <w:szCs w:val="22"/>
        </w:rPr>
        <w:t>A 2025 recovery is expected in markets including New Zealand, Hong Kong</w:t>
      </w:r>
      <w:r w:rsidR="00F44C3A" w:rsidRPr="00157E45">
        <w:rPr>
          <w:rFonts w:ascii="Arial" w:hAnsi="Arial" w:cs="Arial"/>
          <w:sz w:val="22"/>
          <w:szCs w:val="22"/>
        </w:rPr>
        <w:t>,</w:t>
      </w:r>
      <w:r w:rsidRPr="00157E45">
        <w:rPr>
          <w:rFonts w:ascii="Arial" w:hAnsi="Arial" w:cs="Arial"/>
          <w:sz w:val="22"/>
          <w:szCs w:val="22"/>
        </w:rPr>
        <w:t xml:space="preserve"> Japan, Indonesia and France. Western markets such the USA and United Kingdom are not projected to return to 2019 visitation levels until 2026/27</w:t>
      </w:r>
      <w:r w:rsidR="00065FD1" w:rsidRPr="00157E45">
        <w:rPr>
          <w:rFonts w:ascii="Arial" w:hAnsi="Arial" w:cs="Arial"/>
          <w:sz w:val="22"/>
          <w:szCs w:val="22"/>
        </w:rPr>
        <w:t>.</w:t>
      </w:r>
    </w:p>
    <w:p w14:paraId="650ED46E" w14:textId="3C8AFF64" w:rsidR="00C4235E" w:rsidRPr="00157E45" w:rsidRDefault="00603CF0" w:rsidP="008C6E2D">
      <w:pPr>
        <w:pStyle w:val="ListParagraph"/>
        <w:numPr>
          <w:ilvl w:val="0"/>
          <w:numId w:val="4"/>
        </w:numPr>
        <w:rPr>
          <w:rFonts w:ascii="Arial" w:hAnsi="Arial" w:cs="Arial"/>
          <w:sz w:val="22"/>
          <w:szCs w:val="22"/>
        </w:rPr>
      </w:pPr>
      <w:r w:rsidRPr="00157E45">
        <w:rPr>
          <w:rFonts w:ascii="Arial" w:hAnsi="Arial" w:cs="Arial"/>
          <w:sz w:val="22"/>
          <w:szCs w:val="22"/>
        </w:rPr>
        <w:lastRenderedPageBreak/>
        <w:t>Emerging markets in South-East Asia are expected to grow strongly including Vietnam, Thailand and the Philippines with visitor growth boosted by their close connections to Australia, as well as positive economic and population growth prospects</w:t>
      </w:r>
      <w:r w:rsidR="00A43DFC" w:rsidRPr="00157E45">
        <w:rPr>
          <w:rFonts w:ascii="Arial" w:hAnsi="Arial" w:cs="Arial"/>
          <w:sz w:val="22"/>
          <w:szCs w:val="22"/>
        </w:rPr>
        <w:t>.</w:t>
      </w:r>
    </w:p>
    <w:p w14:paraId="64497308" w14:textId="77777777" w:rsidR="004F1626" w:rsidRPr="00157E45" w:rsidRDefault="004F1626" w:rsidP="007B2391">
      <w:pPr>
        <w:rPr>
          <w:rFonts w:ascii="Arial" w:hAnsi="Arial" w:cs="Arial"/>
          <w:color w:val="000000" w:themeColor="text1"/>
          <w:sz w:val="22"/>
          <w:szCs w:val="22"/>
        </w:rPr>
      </w:pPr>
    </w:p>
    <w:p w14:paraId="5EA81255" w14:textId="611B02DB" w:rsidR="007B2391" w:rsidRPr="00157E45" w:rsidRDefault="007B2391" w:rsidP="007B2391">
      <w:pPr>
        <w:rPr>
          <w:rFonts w:ascii="Arial" w:hAnsi="Arial" w:cs="Arial"/>
          <w:color w:val="000000" w:themeColor="text1"/>
          <w:sz w:val="22"/>
          <w:szCs w:val="22"/>
        </w:rPr>
      </w:pPr>
      <w:r w:rsidRPr="00157E45">
        <w:rPr>
          <w:rFonts w:ascii="Arial" w:hAnsi="Arial" w:cs="Arial"/>
          <w:color w:val="000000" w:themeColor="text1"/>
          <w:sz w:val="22"/>
          <w:szCs w:val="22"/>
        </w:rPr>
        <w:t xml:space="preserve">In 2029 </w:t>
      </w:r>
      <w:r w:rsidR="008F22CC" w:rsidRPr="00157E45">
        <w:rPr>
          <w:rFonts w:ascii="Arial" w:hAnsi="Arial" w:cs="Arial"/>
          <w:color w:val="000000" w:themeColor="text1"/>
          <w:sz w:val="22"/>
          <w:szCs w:val="22"/>
        </w:rPr>
        <w:t>the share of international visitors to Victoria are forecast to be</w:t>
      </w:r>
      <w:r w:rsidRPr="00157E45">
        <w:rPr>
          <w:rFonts w:ascii="Arial" w:hAnsi="Arial" w:cs="Arial"/>
          <w:color w:val="000000" w:themeColor="text1"/>
          <w:sz w:val="22"/>
          <w:szCs w:val="22"/>
        </w:rPr>
        <w:t>:</w:t>
      </w:r>
    </w:p>
    <w:p w14:paraId="70D440A2" w14:textId="52120DD7" w:rsidR="007B2391" w:rsidRPr="00157E45" w:rsidRDefault="008F22CC" w:rsidP="007B2391">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China</w:t>
      </w:r>
      <w:r w:rsidR="007B2391" w:rsidRPr="00157E45">
        <w:rPr>
          <w:rFonts w:ascii="Arial" w:hAnsi="Arial" w:cs="Arial"/>
          <w:color w:val="000000" w:themeColor="text1"/>
          <w:sz w:val="22"/>
          <w:szCs w:val="22"/>
        </w:rPr>
        <w:t xml:space="preserve"> 2</w:t>
      </w:r>
      <w:r w:rsidRPr="00157E45">
        <w:rPr>
          <w:rFonts w:ascii="Arial" w:hAnsi="Arial" w:cs="Arial"/>
          <w:color w:val="000000" w:themeColor="text1"/>
          <w:sz w:val="22"/>
          <w:szCs w:val="22"/>
        </w:rPr>
        <w:t>0</w:t>
      </w:r>
      <w:r w:rsidR="007B2391" w:rsidRPr="00157E45">
        <w:rPr>
          <w:rFonts w:ascii="Arial" w:hAnsi="Arial" w:cs="Arial"/>
          <w:color w:val="000000" w:themeColor="text1"/>
          <w:sz w:val="22"/>
          <w:szCs w:val="22"/>
        </w:rPr>
        <w:t>% share</w:t>
      </w:r>
    </w:p>
    <w:p w14:paraId="19C08D6D" w14:textId="35CE0F90" w:rsidR="007B2391" w:rsidRPr="00157E45" w:rsidRDefault="008F22CC" w:rsidP="007B2391">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Other Eastern markets</w:t>
      </w:r>
      <w:r w:rsidR="007B2391" w:rsidRPr="00157E45">
        <w:rPr>
          <w:rFonts w:ascii="Arial" w:hAnsi="Arial" w:cs="Arial"/>
          <w:color w:val="000000" w:themeColor="text1"/>
          <w:sz w:val="22"/>
          <w:szCs w:val="22"/>
        </w:rPr>
        <w:t xml:space="preserve"> </w:t>
      </w:r>
      <w:r w:rsidRPr="00157E45">
        <w:rPr>
          <w:rFonts w:ascii="Arial" w:hAnsi="Arial" w:cs="Arial"/>
          <w:color w:val="000000" w:themeColor="text1"/>
          <w:sz w:val="22"/>
          <w:szCs w:val="22"/>
        </w:rPr>
        <w:t>39</w:t>
      </w:r>
      <w:r w:rsidR="007B2391" w:rsidRPr="00157E45">
        <w:rPr>
          <w:rFonts w:ascii="Arial" w:hAnsi="Arial" w:cs="Arial"/>
          <w:color w:val="000000" w:themeColor="text1"/>
          <w:sz w:val="22"/>
          <w:szCs w:val="22"/>
        </w:rPr>
        <w:t>% share</w:t>
      </w:r>
    </w:p>
    <w:p w14:paraId="0AFE4AC5" w14:textId="1286A250" w:rsidR="007B2391" w:rsidRPr="00157E45" w:rsidRDefault="008F22CC" w:rsidP="007B2391">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Western markets</w:t>
      </w:r>
      <w:r w:rsidR="007B2391" w:rsidRPr="00157E45">
        <w:rPr>
          <w:rFonts w:ascii="Arial" w:hAnsi="Arial" w:cs="Arial"/>
          <w:color w:val="000000" w:themeColor="text1"/>
          <w:sz w:val="22"/>
          <w:szCs w:val="22"/>
        </w:rPr>
        <w:t xml:space="preserve"> </w:t>
      </w:r>
      <w:r w:rsidRPr="00157E45">
        <w:rPr>
          <w:rFonts w:ascii="Arial" w:hAnsi="Arial" w:cs="Arial"/>
          <w:color w:val="000000" w:themeColor="text1"/>
          <w:sz w:val="22"/>
          <w:szCs w:val="22"/>
        </w:rPr>
        <w:t>36</w:t>
      </w:r>
      <w:r w:rsidR="007B2391" w:rsidRPr="00157E45">
        <w:rPr>
          <w:rFonts w:ascii="Arial" w:hAnsi="Arial" w:cs="Arial"/>
          <w:color w:val="000000" w:themeColor="text1"/>
          <w:sz w:val="22"/>
          <w:szCs w:val="22"/>
        </w:rPr>
        <w:t>% share</w:t>
      </w:r>
    </w:p>
    <w:p w14:paraId="58871592" w14:textId="438FED11" w:rsidR="007B2391" w:rsidRPr="00157E45" w:rsidRDefault="008F22CC" w:rsidP="007B2391">
      <w:pPr>
        <w:pStyle w:val="ListParagraph"/>
        <w:numPr>
          <w:ilvl w:val="0"/>
          <w:numId w:val="3"/>
        </w:numPr>
        <w:rPr>
          <w:rFonts w:ascii="Arial" w:hAnsi="Arial" w:cs="Arial"/>
          <w:color w:val="000000" w:themeColor="text1"/>
          <w:sz w:val="22"/>
          <w:szCs w:val="22"/>
        </w:rPr>
      </w:pPr>
      <w:r w:rsidRPr="00157E45">
        <w:rPr>
          <w:rFonts w:ascii="Arial" w:hAnsi="Arial" w:cs="Arial"/>
          <w:color w:val="000000" w:themeColor="text1"/>
          <w:sz w:val="22"/>
          <w:szCs w:val="22"/>
        </w:rPr>
        <w:t>Other countries</w:t>
      </w:r>
      <w:r w:rsidR="007B2391" w:rsidRPr="00157E45">
        <w:rPr>
          <w:rFonts w:ascii="Arial" w:hAnsi="Arial" w:cs="Arial"/>
          <w:color w:val="000000" w:themeColor="text1"/>
          <w:sz w:val="22"/>
          <w:szCs w:val="22"/>
        </w:rPr>
        <w:t xml:space="preserve"> </w:t>
      </w:r>
      <w:r w:rsidRPr="00157E45">
        <w:rPr>
          <w:rFonts w:ascii="Arial" w:hAnsi="Arial" w:cs="Arial"/>
          <w:color w:val="000000" w:themeColor="text1"/>
          <w:sz w:val="22"/>
          <w:szCs w:val="22"/>
        </w:rPr>
        <w:t>5</w:t>
      </w:r>
      <w:r w:rsidR="007B2391" w:rsidRPr="00157E45">
        <w:rPr>
          <w:rFonts w:ascii="Arial" w:hAnsi="Arial" w:cs="Arial"/>
          <w:color w:val="000000" w:themeColor="text1"/>
          <w:sz w:val="22"/>
          <w:szCs w:val="22"/>
        </w:rPr>
        <w:t>% share</w:t>
      </w:r>
      <w:r w:rsidRPr="00157E45">
        <w:rPr>
          <w:rFonts w:ascii="Arial" w:hAnsi="Arial" w:cs="Arial"/>
          <w:color w:val="000000" w:themeColor="text1"/>
          <w:sz w:val="22"/>
          <w:szCs w:val="22"/>
        </w:rPr>
        <w:t>.</w:t>
      </w:r>
    </w:p>
    <w:p w14:paraId="64AB16BA" w14:textId="77777777" w:rsidR="007B2391" w:rsidRPr="00157E45" w:rsidRDefault="007B2391" w:rsidP="007B2391">
      <w:pPr>
        <w:rPr>
          <w:rFonts w:ascii="Arial" w:hAnsi="Arial" w:cs="Arial"/>
          <w:sz w:val="4"/>
          <w:szCs w:val="4"/>
        </w:rPr>
      </w:pPr>
    </w:p>
    <w:p w14:paraId="689ADFF1" w14:textId="0DD6CDB4" w:rsidR="0007792E" w:rsidRPr="00157E45" w:rsidRDefault="00E2292A" w:rsidP="0085353B">
      <w:pPr>
        <w:pStyle w:val="Heading2"/>
        <w:spacing w:before="80" w:line="240" w:lineRule="auto"/>
        <w:rPr>
          <w:rFonts w:ascii="Arial" w:hAnsi="Arial" w:cs="Arial"/>
          <w:color w:val="002060"/>
        </w:rPr>
      </w:pPr>
      <w:bookmarkStart w:id="46" w:name="_Toc184116529"/>
      <w:r w:rsidRPr="00157E45">
        <w:rPr>
          <w:rFonts w:ascii="Arial" w:hAnsi="Arial" w:cs="Arial"/>
          <w:color w:val="002060"/>
        </w:rPr>
        <w:t xml:space="preserve">8.1 </w:t>
      </w:r>
      <w:r w:rsidR="0007792E" w:rsidRPr="00157E45">
        <w:rPr>
          <w:rFonts w:ascii="Arial" w:hAnsi="Arial" w:cs="Arial"/>
          <w:color w:val="002060"/>
        </w:rPr>
        <w:t xml:space="preserve">Data table: </w:t>
      </w:r>
      <w:r w:rsidR="00CF500E" w:rsidRPr="00157E45">
        <w:rPr>
          <w:rFonts w:ascii="Arial" w:hAnsi="Arial" w:cs="Arial"/>
          <w:color w:val="002060"/>
        </w:rPr>
        <w:t xml:space="preserve">Actual and projected </w:t>
      </w:r>
      <w:r w:rsidR="00127C6A" w:rsidRPr="00157E45">
        <w:rPr>
          <w:rFonts w:ascii="Arial" w:hAnsi="Arial" w:cs="Arial"/>
          <w:color w:val="002060"/>
        </w:rPr>
        <w:t>international</w:t>
      </w:r>
      <w:r w:rsidR="0007792E" w:rsidRPr="00157E45">
        <w:rPr>
          <w:rFonts w:ascii="Arial" w:hAnsi="Arial" w:cs="Arial"/>
          <w:color w:val="002060"/>
        </w:rPr>
        <w:t xml:space="preserve"> </w:t>
      </w:r>
      <w:r w:rsidR="00127C6A" w:rsidRPr="00157E45">
        <w:rPr>
          <w:rFonts w:ascii="Arial" w:hAnsi="Arial" w:cs="Arial"/>
          <w:color w:val="002060"/>
        </w:rPr>
        <w:t>visitors</w:t>
      </w:r>
      <w:r w:rsidR="0007792E" w:rsidRPr="00157E45">
        <w:rPr>
          <w:rFonts w:ascii="Arial" w:hAnsi="Arial" w:cs="Arial"/>
          <w:color w:val="002060"/>
        </w:rPr>
        <w:t xml:space="preserve"> </w:t>
      </w:r>
      <w:r w:rsidR="00127C6A" w:rsidRPr="00157E45">
        <w:rPr>
          <w:rFonts w:ascii="Arial" w:hAnsi="Arial" w:cs="Arial"/>
          <w:color w:val="002060"/>
        </w:rPr>
        <w:t>to Victoria</w:t>
      </w:r>
      <w:r w:rsidR="0007792E" w:rsidRPr="00157E45">
        <w:rPr>
          <w:rFonts w:ascii="Arial" w:hAnsi="Arial" w:cs="Arial"/>
          <w:color w:val="002060"/>
        </w:rPr>
        <w:t xml:space="preserve"> from 201</w:t>
      </w:r>
      <w:r w:rsidRPr="00157E45">
        <w:rPr>
          <w:rFonts w:ascii="Arial" w:hAnsi="Arial" w:cs="Arial"/>
          <w:color w:val="002060"/>
        </w:rPr>
        <w:t>4</w:t>
      </w:r>
      <w:r w:rsidR="0007792E" w:rsidRPr="00157E45">
        <w:rPr>
          <w:rFonts w:ascii="Arial" w:hAnsi="Arial" w:cs="Arial"/>
          <w:color w:val="002060"/>
        </w:rPr>
        <w:t xml:space="preserve"> to </w:t>
      </w:r>
      <w:r w:rsidR="00AF22E8" w:rsidRPr="00157E45">
        <w:rPr>
          <w:rFonts w:ascii="Arial" w:hAnsi="Arial" w:cs="Arial"/>
          <w:color w:val="002060"/>
        </w:rPr>
        <w:t>2029</w:t>
      </w:r>
      <w:r w:rsidR="00AA6006" w:rsidRPr="00157E45">
        <w:rPr>
          <w:rFonts w:ascii="Arial" w:hAnsi="Arial" w:cs="Arial"/>
          <w:color w:val="002060"/>
        </w:rPr>
        <w:t xml:space="preserve"> by market</w:t>
      </w:r>
      <w:r w:rsidR="0007792E" w:rsidRPr="00157E45">
        <w:rPr>
          <w:rFonts w:ascii="Arial" w:hAnsi="Arial" w:cs="Arial"/>
          <w:color w:val="002060"/>
        </w:rPr>
        <w:t>.</w:t>
      </w:r>
      <w:bookmarkEnd w:id="46"/>
      <w:r w:rsidR="0007792E" w:rsidRPr="00157E45">
        <w:rPr>
          <w:rFonts w:ascii="Arial" w:hAnsi="Arial" w:cs="Arial"/>
          <w:color w:val="002060"/>
        </w:rPr>
        <w:t xml:space="preserve"> </w:t>
      </w:r>
    </w:p>
    <w:p w14:paraId="787B01BA" w14:textId="21CFA373" w:rsidR="00DD4264" w:rsidRPr="00157E45" w:rsidRDefault="00DD4264" w:rsidP="0085353B">
      <w:pPr>
        <w:spacing w:before="120" w:after="120" w:line="240" w:lineRule="auto"/>
        <w:rPr>
          <w:rFonts w:ascii="Arial" w:hAnsi="Arial" w:cs="Arial"/>
          <w:sz w:val="22"/>
          <w:szCs w:val="22"/>
        </w:rPr>
      </w:pPr>
      <w:r w:rsidRPr="00157E45">
        <w:rPr>
          <w:rFonts w:ascii="Arial" w:hAnsi="Arial" w:cs="Arial"/>
          <w:sz w:val="22"/>
          <w:szCs w:val="22"/>
        </w:rPr>
        <w:t>The table below provides visitor estimates for</w:t>
      </w:r>
      <w:r w:rsidR="0072376D" w:rsidRPr="00157E45">
        <w:rPr>
          <w:rFonts w:ascii="Arial" w:hAnsi="Arial" w:cs="Arial"/>
          <w:sz w:val="22"/>
          <w:szCs w:val="22"/>
        </w:rPr>
        <w:t xml:space="preserve"> China,</w:t>
      </w:r>
      <w:r w:rsidRPr="00157E45">
        <w:rPr>
          <w:rFonts w:ascii="Arial" w:hAnsi="Arial" w:cs="Arial"/>
          <w:sz w:val="22"/>
          <w:szCs w:val="22"/>
        </w:rPr>
        <w:t xml:space="preserve"> </w:t>
      </w:r>
      <w:r w:rsidR="008D5263" w:rsidRPr="00157E45">
        <w:rPr>
          <w:rFonts w:ascii="Arial" w:hAnsi="Arial" w:cs="Arial"/>
          <w:sz w:val="22"/>
          <w:szCs w:val="22"/>
        </w:rPr>
        <w:t xml:space="preserve">other Eastern markets, </w:t>
      </w:r>
      <w:r w:rsidR="000D2CDB" w:rsidRPr="00157E45">
        <w:rPr>
          <w:rFonts w:ascii="Arial" w:hAnsi="Arial" w:cs="Arial"/>
          <w:sz w:val="22"/>
          <w:szCs w:val="22"/>
        </w:rPr>
        <w:t>Western markets,</w:t>
      </w:r>
      <w:r w:rsidR="008D5263" w:rsidRPr="00157E45">
        <w:rPr>
          <w:rFonts w:ascii="Arial" w:hAnsi="Arial" w:cs="Arial"/>
          <w:sz w:val="22"/>
          <w:szCs w:val="22"/>
        </w:rPr>
        <w:t xml:space="preserve"> and other countries</w:t>
      </w:r>
      <w:r w:rsidRPr="00157E45">
        <w:rPr>
          <w:rFonts w:ascii="Arial" w:hAnsi="Arial" w:cs="Arial"/>
          <w:sz w:val="22"/>
          <w:szCs w:val="22"/>
        </w:rPr>
        <w:t xml:space="preserve"> for 201</w:t>
      </w:r>
      <w:r w:rsidR="00E2292A" w:rsidRPr="00157E45">
        <w:rPr>
          <w:rFonts w:ascii="Arial" w:hAnsi="Arial" w:cs="Arial"/>
          <w:sz w:val="22"/>
          <w:szCs w:val="22"/>
        </w:rPr>
        <w:t>4</w:t>
      </w:r>
      <w:r w:rsidRPr="00157E45">
        <w:rPr>
          <w:rFonts w:ascii="Arial" w:hAnsi="Arial" w:cs="Arial"/>
          <w:sz w:val="22"/>
          <w:szCs w:val="22"/>
        </w:rPr>
        <w:t xml:space="preserve"> through to </w:t>
      </w:r>
      <w:r w:rsidR="00AF22E8" w:rsidRPr="00157E45">
        <w:rPr>
          <w:rFonts w:ascii="Arial" w:hAnsi="Arial" w:cs="Arial"/>
          <w:sz w:val="22"/>
          <w:szCs w:val="22"/>
        </w:rPr>
        <w:t>2029</w:t>
      </w:r>
      <w:r w:rsidRPr="00157E45">
        <w:rPr>
          <w:rFonts w:ascii="Arial" w:hAnsi="Arial" w:cs="Arial"/>
          <w:sz w:val="22"/>
          <w:szCs w:val="22"/>
        </w:rPr>
        <w:t>. Visitor numbers from 201</w:t>
      </w:r>
      <w:r w:rsidR="007814F4" w:rsidRPr="00157E45">
        <w:rPr>
          <w:rFonts w:ascii="Arial" w:hAnsi="Arial" w:cs="Arial"/>
          <w:sz w:val="22"/>
          <w:szCs w:val="22"/>
        </w:rPr>
        <w:t>4</w:t>
      </w:r>
      <w:r w:rsidRPr="00157E45">
        <w:rPr>
          <w:rFonts w:ascii="Arial" w:hAnsi="Arial" w:cs="Arial"/>
          <w:sz w:val="22"/>
          <w:szCs w:val="22"/>
        </w:rPr>
        <w:t xml:space="preserve"> to 202</w:t>
      </w:r>
      <w:r w:rsidR="007814F4" w:rsidRPr="00157E45">
        <w:rPr>
          <w:rFonts w:ascii="Arial" w:hAnsi="Arial" w:cs="Arial"/>
          <w:sz w:val="22"/>
          <w:szCs w:val="22"/>
        </w:rPr>
        <w:t>3</w:t>
      </w:r>
      <w:r w:rsidRPr="00157E45">
        <w:rPr>
          <w:rFonts w:ascii="Arial" w:hAnsi="Arial" w:cs="Arial"/>
          <w:sz w:val="22"/>
          <w:szCs w:val="22"/>
        </w:rPr>
        <w:t xml:space="preserve"> are actual values while visitor numbers for </w:t>
      </w:r>
      <w:r w:rsidR="00AF22E8" w:rsidRPr="00157E45">
        <w:rPr>
          <w:rFonts w:ascii="Arial" w:hAnsi="Arial" w:cs="Arial"/>
          <w:sz w:val="22"/>
          <w:szCs w:val="22"/>
        </w:rPr>
        <w:t>2024</w:t>
      </w:r>
      <w:r w:rsidRPr="00157E45">
        <w:rPr>
          <w:rFonts w:ascii="Arial" w:hAnsi="Arial" w:cs="Arial"/>
          <w:sz w:val="22"/>
          <w:szCs w:val="22"/>
        </w:rPr>
        <w:t xml:space="preserve"> to </w:t>
      </w:r>
      <w:r w:rsidR="00AF22E8" w:rsidRPr="00157E45">
        <w:rPr>
          <w:rFonts w:ascii="Arial" w:hAnsi="Arial" w:cs="Arial"/>
          <w:sz w:val="22"/>
          <w:szCs w:val="22"/>
        </w:rPr>
        <w:t>2029</w:t>
      </w:r>
      <w:r w:rsidRPr="00157E45">
        <w:rPr>
          <w:rFonts w:ascii="Arial" w:hAnsi="Arial" w:cs="Arial"/>
          <w:sz w:val="22"/>
          <w:szCs w:val="22"/>
        </w:rPr>
        <w:t xml:space="preserve"> are projected. </w:t>
      </w:r>
      <w:r w:rsidR="005C2902" w:rsidRPr="00157E45">
        <w:rPr>
          <w:rFonts w:ascii="Arial" w:hAnsi="Arial" w:cs="Arial"/>
          <w:sz w:val="22"/>
          <w:szCs w:val="22"/>
        </w:rPr>
        <w:t xml:space="preserve">Note that China excludes </w:t>
      </w:r>
      <w:r w:rsidR="00C71589" w:rsidRPr="00157E45">
        <w:rPr>
          <w:rFonts w:ascii="Arial" w:hAnsi="Arial" w:cs="Arial"/>
          <w:sz w:val="22"/>
          <w:szCs w:val="22"/>
        </w:rPr>
        <w:t xml:space="preserve">Hong Kong, Macau </w:t>
      </w:r>
      <w:r w:rsidR="00EB267D" w:rsidRPr="00157E45">
        <w:rPr>
          <w:rFonts w:ascii="Arial" w:hAnsi="Arial" w:cs="Arial"/>
          <w:sz w:val="22"/>
          <w:szCs w:val="22"/>
        </w:rPr>
        <w:t>and Taiwan.</w:t>
      </w:r>
    </w:p>
    <w:tbl>
      <w:tblPr>
        <w:tblStyle w:val="TableGrid"/>
        <w:tblW w:w="9068" w:type="dxa"/>
        <w:tblLook w:val="04A0" w:firstRow="1" w:lastRow="0" w:firstColumn="1" w:lastColumn="0" w:noHBand="0" w:noVBand="1"/>
      </w:tblPr>
      <w:tblGrid>
        <w:gridCol w:w="1288"/>
        <w:gridCol w:w="1945"/>
        <w:gridCol w:w="1945"/>
        <w:gridCol w:w="1945"/>
        <w:gridCol w:w="1945"/>
      </w:tblGrid>
      <w:tr w:rsidR="0072376D" w:rsidRPr="00157E45" w14:paraId="4518D824" w14:textId="77777777" w:rsidTr="007814F4">
        <w:trPr>
          <w:tblHeader/>
        </w:trPr>
        <w:tc>
          <w:tcPr>
            <w:tcW w:w="1288" w:type="dxa"/>
            <w:shd w:val="clear" w:color="auto" w:fill="D9D9D9" w:themeFill="background1" w:themeFillShade="D9"/>
          </w:tcPr>
          <w:p w14:paraId="1B163121" w14:textId="77777777" w:rsidR="0072376D" w:rsidRPr="00157E45" w:rsidRDefault="0072376D" w:rsidP="0072376D">
            <w:pPr>
              <w:spacing w:after="120"/>
              <w:rPr>
                <w:rFonts w:ascii="Arial" w:hAnsi="Arial" w:cs="Arial"/>
                <w:b/>
                <w:bCs/>
                <w:color w:val="000000" w:themeColor="text1"/>
                <w:sz w:val="22"/>
                <w:szCs w:val="22"/>
              </w:rPr>
            </w:pPr>
            <w:bookmarkStart w:id="47" w:name="Title_11" w:colFirst="0" w:colLast="0"/>
            <w:r w:rsidRPr="00157E45">
              <w:rPr>
                <w:rFonts w:ascii="Arial" w:hAnsi="Arial" w:cs="Arial"/>
                <w:b/>
                <w:bCs/>
              </w:rPr>
              <w:t>Year</w:t>
            </w:r>
          </w:p>
        </w:tc>
        <w:tc>
          <w:tcPr>
            <w:tcW w:w="1945" w:type="dxa"/>
            <w:shd w:val="clear" w:color="auto" w:fill="D9D9D9" w:themeFill="background1" w:themeFillShade="D9"/>
          </w:tcPr>
          <w:p w14:paraId="484546DF" w14:textId="14E09350" w:rsidR="0072376D" w:rsidRPr="00157E45" w:rsidRDefault="0072376D" w:rsidP="0072376D">
            <w:pPr>
              <w:spacing w:after="120"/>
              <w:rPr>
                <w:rFonts w:ascii="Arial" w:hAnsi="Arial" w:cs="Arial"/>
                <w:b/>
                <w:bCs/>
                <w:color w:val="000000" w:themeColor="text1"/>
                <w:sz w:val="22"/>
                <w:szCs w:val="22"/>
              </w:rPr>
            </w:pPr>
            <w:r w:rsidRPr="00157E45">
              <w:rPr>
                <w:rFonts w:ascii="Arial" w:hAnsi="Arial" w:cs="Arial"/>
                <w:b/>
                <w:bCs/>
                <w:color w:val="000000" w:themeColor="text1"/>
                <w:sz w:val="22"/>
                <w:szCs w:val="22"/>
              </w:rPr>
              <w:t>China</w:t>
            </w:r>
          </w:p>
        </w:tc>
        <w:tc>
          <w:tcPr>
            <w:tcW w:w="1945" w:type="dxa"/>
            <w:shd w:val="clear" w:color="auto" w:fill="D9D9D9" w:themeFill="background1" w:themeFillShade="D9"/>
          </w:tcPr>
          <w:p w14:paraId="24BCB5C6" w14:textId="049882C4" w:rsidR="0072376D" w:rsidRPr="00157E45" w:rsidRDefault="0072376D" w:rsidP="0072376D">
            <w:pPr>
              <w:spacing w:after="120"/>
              <w:rPr>
                <w:rFonts w:ascii="Arial" w:hAnsi="Arial" w:cs="Arial"/>
                <w:b/>
                <w:bCs/>
                <w:color w:val="000000" w:themeColor="text1"/>
                <w:sz w:val="22"/>
                <w:szCs w:val="22"/>
              </w:rPr>
            </w:pPr>
            <w:r w:rsidRPr="00157E45">
              <w:rPr>
                <w:rFonts w:ascii="Arial" w:hAnsi="Arial" w:cs="Arial"/>
                <w:b/>
                <w:bCs/>
                <w:color w:val="000000" w:themeColor="text1"/>
                <w:sz w:val="22"/>
                <w:szCs w:val="22"/>
              </w:rPr>
              <w:t>Other Eastern markets</w:t>
            </w:r>
          </w:p>
        </w:tc>
        <w:tc>
          <w:tcPr>
            <w:tcW w:w="1945" w:type="dxa"/>
            <w:shd w:val="clear" w:color="auto" w:fill="D9D9D9" w:themeFill="background1" w:themeFillShade="D9"/>
          </w:tcPr>
          <w:p w14:paraId="68799A9D" w14:textId="7AA3FF86" w:rsidR="0072376D" w:rsidRPr="00157E45" w:rsidRDefault="0072376D" w:rsidP="0072376D">
            <w:pPr>
              <w:spacing w:after="120"/>
              <w:rPr>
                <w:rFonts w:ascii="Arial" w:hAnsi="Arial" w:cs="Arial"/>
                <w:b/>
                <w:bCs/>
                <w:color w:val="000000" w:themeColor="text1"/>
                <w:sz w:val="22"/>
                <w:szCs w:val="22"/>
              </w:rPr>
            </w:pPr>
            <w:r w:rsidRPr="00157E45">
              <w:rPr>
                <w:rFonts w:ascii="Arial" w:hAnsi="Arial" w:cs="Arial"/>
                <w:b/>
                <w:bCs/>
                <w:color w:val="000000" w:themeColor="text1"/>
                <w:sz w:val="22"/>
                <w:szCs w:val="22"/>
              </w:rPr>
              <w:t>Western markets</w:t>
            </w:r>
          </w:p>
        </w:tc>
        <w:tc>
          <w:tcPr>
            <w:tcW w:w="1945" w:type="dxa"/>
            <w:shd w:val="clear" w:color="auto" w:fill="D9D9D9" w:themeFill="background1" w:themeFillShade="D9"/>
          </w:tcPr>
          <w:p w14:paraId="769641D2" w14:textId="0B9B863D" w:rsidR="0072376D" w:rsidRPr="00157E45" w:rsidRDefault="0072376D" w:rsidP="0072376D">
            <w:pPr>
              <w:spacing w:after="120"/>
              <w:rPr>
                <w:rFonts w:ascii="Arial" w:hAnsi="Arial" w:cs="Arial"/>
                <w:b/>
                <w:bCs/>
                <w:color w:val="000000" w:themeColor="text1"/>
                <w:sz w:val="22"/>
                <w:szCs w:val="22"/>
              </w:rPr>
            </w:pPr>
            <w:r w:rsidRPr="00157E45">
              <w:rPr>
                <w:rFonts w:ascii="Arial" w:hAnsi="Arial" w:cs="Arial"/>
                <w:b/>
                <w:bCs/>
                <w:color w:val="000000" w:themeColor="text1"/>
                <w:sz w:val="22"/>
                <w:szCs w:val="22"/>
              </w:rPr>
              <w:t>Other countries</w:t>
            </w:r>
          </w:p>
        </w:tc>
      </w:tr>
      <w:bookmarkEnd w:id="47"/>
      <w:tr w:rsidR="00E2292A" w:rsidRPr="00157E45" w14:paraId="403ECBAF" w14:textId="77777777" w:rsidTr="007814F4">
        <w:tc>
          <w:tcPr>
            <w:tcW w:w="1288" w:type="dxa"/>
          </w:tcPr>
          <w:p w14:paraId="6528B20B" w14:textId="2ECF64D3"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2014</w:t>
            </w:r>
          </w:p>
        </w:tc>
        <w:tc>
          <w:tcPr>
            <w:tcW w:w="1945" w:type="dxa"/>
          </w:tcPr>
          <w:p w14:paraId="624BC77E" w14:textId="67F724E3"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398,100</w:t>
            </w:r>
          </w:p>
        </w:tc>
        <w:tc>
          <w:tcPr>
            <w:tcW w:w="1945" w:type="dxa"/>
          </w:tcPr>
          <w:p w14:paraId="10310903" w14:textId="7EBD7BA9"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635,800</w:t>
            </w:r>
          </w:p>
        </w:tc>
        <w:tc>
          <w:tcPr>
            <w:tcW w:w="1945" w:type="dxa"/>
          </w:tcPr>
          <w:p w14:paraId="5E1A8D17" w14:textId="463E0405" w:rsidR="00E2292A" w:rsidRPr="00157E45" w:rsidRDefault="00E2292A" w:rsidP="00E2292A">
            <w:pPr>
              <w:spacing w:after="120"/>
              <w:rPr>
                <w:rFonts w:ascii="Arial" w:hAnsi="Arial" w:cs="Arial"/>
              </w:rPr>
            </w:pPr>
            <w:r w:rsidRPr="00157E45">
              <w:rPr>
                <w:rFonts w:ascii="Arial" w:hAnsi="Arial" w:cs="Arial"/>
              </w:rPr>
              <w:t>999,30</w:t>
            </w:r>
            <w:r w:rsidR="00DE4F4E" w:rsidRPr="00157E45">
              <w:rPr>
                <w:rFonts w:ascii="Arial" w:hAnsi="Arial" w:cs="Arial"/>
              </w:rPr>
              <w:t>0</w:t>
            </w:r>
          </w:p>
        </w:tc>
        <w:tc>
          <w:tcPr>
            <w:tcW w:w="1945" w:type="dxa"/>
          </w:tcPr>
          <w:p w14:paraId="44338292" w14:textId="542D16F2"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108,00</w:t>
            </w:r>
            <w:r w:rsidR="00DE4F4E" w:rsidRPr="00157E45">
              <w:rPr>
                <w:rFonts w:ascii="Arial" w:hAnsi="Arial" w:cs="Arial"/>
              </w:rPr>
              <w:t>0</w:t>
            </w:r>
          </w:p>
        </w:tc>
      </w:tr>
      <w:tr w:rsidR="00E2292A" w:rsidRPr="00157E45" w14:paraId="63B356B5" w14:textId="77777777" w:rsidTr="007814F4">
        <w:tc>
          <w:tcPr>
            <w:tcW w:w="1288" w:type="dxa"/>
          </w:tcPr>
          <w:p w14:paraId="4418BD5C" w14:textId="37D949D2"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2015</w:t>
            </w:r>
          </w:p>
        </w:tc>
        <w:tc>
          <w:tcPr>
            <w:tcW w:w="1945" w:type="dxa"/>
          </w:tcPr>
          <w:p w14:paraId="2475C8D3" w14:textId="50264A24"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494,900</w:t>
            </w:r>
          </w:p>
        </w:tc>
        <w:tc>
          <w:tcPr>
            <w:tcW w:w="1945" w:type="dxa"/>
          </w:tcPr>
          <w:p w14:paraId="55A61EB1" w14:textId="60D627AA"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722,500</w:t>
            </w:r>
          </w:p>
        </w:tc>
        <w:tc>
          <w:tcPr>
            <w:tcW w:w="1945" w:type="dxa"/>
          </w:tcPr>
          <w:p w14:paraId="037FAF55" w14:textId="12BC983A" w:rsidR="00E2292A" w:rsidRPr="00157E45" w:rsidRDefault="00E2292A" w:rsidP="00E2292A">
            <w:pPr>
              <w:spacing w:after="120"/>
              <w:rPr>
                <w:rFonts w:ascii="Arial" w:hAnsi="Arial" w:cs="Arial"/>
              </w:rPr>
            </w:pPr>
            <w:r w:rsidRPr="00157E45">
              <w:rPr>
                <w:rFonts w:ascii="Arial" w:hAnsi="Arial" w:cs="Arial"/>
              </w:rPr>
              <w:t>1,068,00</w:t>
            </w:r>
            <w:r w:rsidR="00DE4F4E" w:rsidRPr="00157E45">
              <w:rPr>
                <w:rFonts w:ascii="Arial" w:hAnsi="Arial" w:cs="Arial"/>
              </w:rPr>
              <w:t>0</w:t>
            </w:r>
          </w:p>
        </w:tc>
        <w:tc>
          <w:tcPr>
            <w:tcW w:w="1945" w:type="dxa"/>
          </w:tcPr>
          <w:p w14:paraId="60F4568C" w14:textId="68289906"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119,70</w:t>
            </w:r>
            <w:r w:rsidR="00DE4F4E" w:rsidRPr="00157E45">
              <w:rPr>
                <w:rFonts w:ascii="Arial" w:hAnsi="Arial" w:cs="Arial"/>
              </w:rPr>
              <w:t>0</w:t>
            </w:r>
          </w:p>
        </w:tc>
      </w:tr>
      <w:tr w:rsidR="00E2292A" w:rsidRPr="00157E45" w14:paraId="3694F5F1" w14:textId="77777777" w:rsidTr="007814F4">
        <w:tc>
          <w:tcPr>
            <w:tcW w:w="1288" w:type="dxa"/>
          </w:tcPr>
          <w:p w14:paraId="72124BE5" w14:textId="2C9E9821"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2016</w:t>
            </w:r>
          </w:p>
        </w:tc>
        <w:tc>
          <w:tcPr>
            <w:tcW w:w="1945" w:type="dxa"/>
          </w:tcPr>
          <w:p w14:paraId="081F83AA" w14:textId="328269EC"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572,100</w:t>
            </w:r>
          </w:p>
        </w:tc>
        <w:tc>
          <w:tcPr>
            <w:tcW w:w="1945" w:type="dxa"/>
          </w:tcPr>
          <w:p w14:paraId="3C0AD864" w14:textId="78835E9B"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836,80</w:t>
            </w:r>
            <w:r w:rsidR="00DE4F4E" w:rsidRPr="00157E45">
              <w:rPr>
                <w:rFonts w:ascii="Arial" w:hAnsi="Arial" w:cs="Arial"/>
              </w:rPr>
              <w:t>0</w:t>
            </w:r>
          </w:p>
        </w:tc>
        <w:tc>
          <w:tcPr>
            <w:tcW w:w="1945" w:type="dxa"/>
          </w:tcPr>
          <w:p w14:paraId="0F87A1F3" w14:textId="62D161EF" w:rsidR="00E2292A" w:rsidRPr="00157E45" w:rsidRDefault="00E2292A" w:rsidP="00E2292A">
            <w:pPr>
              <w:spacing w:after="120"/>
              <w:rPr>
                <w:rFonts w:ascii="Arial" w:hAnsi="Arial" w:cs="Arial"/>
              </w:rPr>
            </w:pPr>
            <w:r w:rsidRPr="00157E45">
              <w:rPr>
                <w:rFonts w:ascii="Arial" w:hAnsi="Arial" w:cs="Arial"/>
              </w:rPr>
              <w:t>1,126,80</w:t>
            </w:r>
            <w:r w:rsidR="00DE4F4E" w:rsidRPr="00157E45">
              <w:rPr>
                <w:rFonts w:ascii="Arial" w:hAnsi="Arial" w:cs="Arial"/>
              </w:rPr>
              <w:t>0</w:t>
            </w:r>
          </w:p>
        </w:tc>
        <w:tc>
          <w:tcPr>
            <w:tcW w:w="1945" w:type="dxa"/>
          </w:tcPr>
          <w:p w14:paraId="071C40AF" w14:textId="15A6F0F5"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117,70</w:t>
            </w:r>
            <w:r w:rsidR="00DE4F4E" w:rsidRPr="00157E45">
              <w:rPr>
                <w:rFonts w:ascii="Arial" w:hAnsi="Arial" w:cs="Arial"/>
              </w:rPr>
              <w:t>0</w:t>
            </w:r>
          </w:p>
        </w:tc>
      </w:tr>
      <w:tr w:rsidR="00E2292A" w:rsidRPr="00157E45" w14:paraId="0B987376" w14:textId="77777777" w:rsidTr="007814F4">
        <w:tc>
          <w:tcPr>
            <w:tcW w:w="1288" w:type="dxa"/>
          </w:tcPr>
          <w:p w14:paraId="0BABFE63" w14:textId="337357EA"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2017</w:t>
            </w:r>
          </w:p>
        </w:tc>
        <w:tc>
          <w:tcPr>
            <w:tcW w:w="1945" w:type="dxa"/>
          </w:tcPr>
          <w:p w14:paraId="32D97EA5" w14:textId="10E81536"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621,700</w:t>
            </w:r>
          </w:p>
        </w:tc>
        <w:tc>
          <w:tcPr>
            <w:tcW w:w="1945" w:type="dxa"/>
          </w:tcPr>
          <w:p w14:paraId="5CDC45C6" w14:textId="4076A665"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943,00</w:t>
            </w:r>
            <w:r w:rsidR="00DE4F4E" w:rsidRPr="00157E45">
              <w:rPr>
                <w:rFonts w:ascii="Arial" w:hAnsi="Arial" w:cs="Arial"/>
              </w:rPr>
              <w:t>0</w:t>
            </w:r>
          </w:p>
        </w:tc>
        <w:tc>
          <w:tcPr>
            <w:tcW w:w="1945" w:type="dxa"/>
          </w:tcPr>
          <w:p w14:paraId="6E6B6DCA" w14:textId="22DA3DCB" w:rsidR="00E2292A" w:rsidRPr="00157E45" w:rsidRDefault="00E2292A" w:rsidP="00E2292A">
            <w:pPr>
              <w:spacing w:after="120"/>
              <w:rPr>
                <w:rFonts w:ascii="Arial" w:hAnsi="Arial" w:cs="Arial"/>
              </w:rPr>
            </w:pPr>
            <w:r w:rsidRPr="00157E45">
              <w:rPr>
                <w:rFonts w:ascii="Arial" w:hAnsi="Arial" w:cs="Arial"/>
              </w:rPr>
              <w:t>1,178,90</w:t>
            </w:r>
            <w:r w:rsidR="00DE4F4E" w:rsidRPr="00157E45">
              <w:rPr>
                <w:rFonts w:ascii="Arial" w:hAnsi="Arial" w:cs="Arial"/>
              </w:rPr>
              <w:t>0</w:t>
            </w:r>
          </w:p>
        </w:tc>
        <w:tc>
          <w:tcPr>
            <w:tcW w:w="1945" w:type="dxa"/>
          </w:tcPr>
          <w:p w14:paraId="096DA1DD" w14:textId="29816B11"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140,60</w:t>
            </w:r>
            <w:r w:rsidR="00DE4F4E" w:rsidRPr="00157E45">
              <w:rPr>
                <w:rFonts w:ascii="Arial" w:hAnsi="Arial" w:cs="Arial"/>
              </w:rPr>
              <w:t>0</w:t>
            </w:r>
          </w:p>
        </w:tc>
      </w:tr>
      <w:tr w:rsidR="00E2292A" w:rsidRPr="00157E45" w14:paraId="3F954CF6" w14:textId="77777777" w:rsidTr="007814F4">
        <w:tc>
          <w:tcPr>
            <w:tcW w:w="1288" w:type="dxa"/>
          </w:tcPr>
          <w:p w14:paraId="72922B23" w14:textId="59FB479F"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2018</w:t>
            </w:r>
          </w:p>
        </w:tc>
        <w:tc>
          <w:tcPr>
            <w:tcW w:w="1945" w:type="dxa"/>
          </w:tcPr>
          <w:p w14:paraId="1A5EE87F" w14:textId="31C941A5"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659,300</w:t>
            </w:r>
          </w:p>
        </w:tc>
        <w:tc>
          <w:tcPr>
            <w:tcW w:w="1945" w:type="dxa"/>
          </w:tcPr>
          <w:p w14:paraId="460A0F00" w14:textId="64F5283E"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1,034,70</w:t>
            </w:r>
            <w:r w:rsidR="00DE4F4E" w:rsidRPr="00157E45">
              <w:rPr>
                <w:rFonts w:ascii="Arial" w:hAnsi="Arial" w:cs="Arial"/>
              </w:rPr>
              <w:t>0</w:t>
            </w:r>
          </w:p>
        </w:tc>
        <w:tc>
          <w:tcPr>
            <w:tcW w:w="1945" w:type="dxa"/>
          </w:tcPr>
          <w:p w14:paraId="41BCFA96" w14:textId="2C15ADCA" w:rsidR="00E2292A" w:rsidRPr="00157E45" w:rsidRDefault="00E2292A" w:rsidP="00E2292A">
            <w:pPr>
              <w:spacing w:after="120"/>
              <w:rPr>
                <w:rFonts w:ascii="Arial" w:hAnsi="Arial" w:cs="Arial"/>
              </w:rPr>
            </w:pPr>
            <w:r w:rsidRPr="00157E45">
              <w:rPr>
                <w:rFonts w:ascii="Arial" w:hAnsi="Arial" w:cs="Arial"/>
              </w:rPr>
              <w:t>1,196,30</w:t>
            </w:r>
            <w:r w:rsidR="00DE4F4E" w:rsidRPr="00157E45">
              <w:rPr>
                <w:rFonts w:ascii="Arial" w:hAnsi="Arial" w:cs="Arial"/>
              </w:rPr>
              <w:t>0</w:t>
            </w:r>
          </w:p>
        </w:tc>
        <w:tc>
          <w:tcPr>
            <w:tcW w:w="1945" w:type="dxa"/>
          </w:tcPr>
          <w:p w14:paraId="0AEE5C0E" w14:textId="56B8DB00"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149,00</w:t>
            </w:r>
            <w:r w:rsidR="00DE4F4E" w:rsidRPr="00157E45">
              <w:rPr>
                <w:rFonts w:ascii="Arial" w:hAnsi="Arial" w:cs="Arial"/>
              </w:rPr>
              <w:t>0</w:t>
            </w:r>
          </w:p>
        </w:tc>
      </w:tr>
      <w:tr w:rsidR="00E2292A" w:rsidRPr="00157E45" w14:paraId="1A058EB4" w14:textId="77777777" w:rsidTr="007814F4">
        <w:tc>
          <w:tcPr>
            <w:tcW w:w="1288" w:type="dxa"/>
          </w:tcPr>
          <w:p w14:paraId="5DB65321" w14:textId="6CE92D58"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2019</w:t>
            </w:r>
          </w:p>
        </w:tc>
        <w:tc>
          <w:tcPr>
            <w:tcW w:w="1945" w:type="dxa"/>
          </w:tcPr>
          <w:p w14:paraId="34AE9899" w14:textId="2F3F7DC9"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675,600</w:t>
            </w:r>
          </w:p>
        </w:tc>
        <w:tc>
          <w:tcPr>
            <w:tcW w:w="1945" w:type="dxa"/>
          </w:tcPr>
          <w:p w14:paraId="2920F36F" w14:textId="0CB666D2"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1,067,90</w:t>
            </w:r>
            <w:r w:rsidR="00DE4F4E" w:rsidRPr="00157E45">
              <w:rPr>
                <w:rFonts w:ascii="Arial" w:hAnsi="Arial" w:cs="Arial"/>
              </w:rPr>
              <w:t>0</w:t>
            </w:r>
          </w:p>
        </w:tc>
        <w:tc>
          <w:tcPr>
            <w:tcW w:w="1945" w:type="dxa"/>
          </w:tcPr>
          <w:p w14:paraId="4D3F0140" w14:textId="4C933545" w:rsidR="00E2292A" w:rsidRPr="00157E45" w:rsidRDefault="00E2292A" w:rsidP="00E2292A">
            <w:pPr>
              <w:spacing w:after="120"/>
              <w:rPr>
                <w:rFonts w:ascii="Arial" w:hAnsi="Arial" w:cs="Arial"/>
              </w:rPr>
            </w:pPr>
            <w:r w:rsidRPr="00157E45">
              <w:rPr>
                <w:rFonts w:ascii="Arial" w:hAnsi="Arial" w:cs="Arial"/>
              </w:rPr>
              <w:t>1,242,00</w:t>
            </w:r>
            <w:r w:rsidR="00DE4F4E" w:rsidRPr="00157E45">
              <w:rPr>
                <w:rFonts w:ascii="Arial" w:hAnsi="Arial" w:cs="Arial"/>
              </w:rPr>
              <w:t>0</w:t>
            </w:r>
          </w:p>
        </w:tc>
        <w:tc>
          <w:tcPr>
            <w:tcW w:w="1945" w:type="dxa"/>
          </w:tcPr>
          <w:p w14:paraId="7027B899" w14:textId="466F6DA2"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152,10</w:t>
            </w:r>
            <w:r w:rsidR="00DE4F4E" w:rsidRPr="00157E45">
              <w:rPr>
                <w:rFonts w:ascii="Arial" w:hAnsi="Arial" w:cs="Arial"/>
              </w:rPr>
              <w:t>0</w:t>
            </w:r>
          </w:p>
        </w:tc>
      </w:tr>
      <w:tr w:rsidR="00E2292A" w:rsidRPr="00157E45" w14:paraId="198A602B" w14:textId="77777777" w:rsidTr="007814F4">
        <w:tc>
          <w:tcPr>
            <w:tcW w:w="1288" w:type="dxa"/>
          </w:tcPr>
          <w:p w14:paraId="624054D9" w14:textId="1EC6A0C7"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2020</w:t>
            </w:r>
          </w:p>
        </w:tc>
        <w:tc>
          <w:tcPr>
            <w:tcW w:w="1945" w:type="dxa"/>
          </w:tcPr>
          <w:p w14:paraId="074C38F1" w14:textId="0219B4F3"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88,700</w:t>
            </w:r>
          </w:p>
        </w:tc>
        <w:tc>
          <w:tcPr>
            <w:tcW w:w="1945" w:type="dxa"/>
          </w:tcPr>
          <w:p w14:paraId="12312A9A" w14:textId="3BCDCA53"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193,80</w:t>
            </w:r>
            <w:r w:rsidR="00DE4F4E" w:rsidRPr="00157E45">
              <w:rPr>
                <w:rFonts w:ascii="Arial" w:hAnsi="Arial" w:cs="Arial"/>
              </w:rPr>
              <w:t>0</w:t>
            </w:r>
          </w:p>
        </w:tc>
        <w:tc>
          <w:tcPr>
            <w:tcW w:w="1945" w:type="dxa"/>
          </w:tcPr>
          <w:p w14:paraId="1A747259" w14:textId="60D7B043" w:rsidR="00E2292A" w:rsidRPr="00157E45" w:rsidRDefault="00E2292A" w:rsidP="00E2292A">
            <w:pPr>
              <w:spacing w:after="120"/>
              <w:rPr>
                <w:rFonts w:ascii="Arial" w:hAnsi="Arial" w:cs="Arial"/>
              </w:rPr>
            </w:pPr>
            <w:r w:rsidRPr="00157E45">
              <w:rPr>
                <w:rFonts w:ascii="Arial" w:hAnsi="Arial" w:cs="Arial"/>
              </w:rPr>
              <w:t>299,80</w:t>
            </w:r>
            <w:r w:rsidR="00DE4F4E" w:rsidRPr="00157E45">
              <w:rPr>
                <w:rFonts w:ascii="Arial" w:hAnsi="Arial" w:cs="Arial"/>
              </w:rPr>
              <w:t>0</w:t>
            </w:r>
          </w:p>
        </w:tc>
        <w:tc>
          <w:tcPr>
            <w:tcW w:w="1945" w:type="dxa"/>
          </w:tcPr>
          <w:p w14:paraId="033C2081" w14:textId="4D91D993"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33,00</w:t>
            </w:r>
            <w:r w:rsidR="00DE4F4E" w:rsidRPr="00157E45">
              <w:rPr>
                <w:rFonts w:ascii="Arial" w:hAnsi="Arial" w:cs="Arial"/>
              </w:rPr>
              <w:t>0</w:t>
            </w:r>
          </w:p>
        </w:tc>
      </w:tr>
      <w:tr w:rsidR="00E2292A" w:rsidRPr="00157E45" w14:paraId="4C394D08" w14:textId="77777777" w:rsidTr="007814F4">
        <w:tc>
          <w:tcPr>
            <w:tcW w:w="1288" w:type="dxa"/>
          </w:tcPr>
          <w:p w14:paraId="6C9809D1" w14:textId="50A85994"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2021</w:t>
            </w:r>
          </w:p>
        </w:tc>
        <w:tc>
          <w:tcPr>
            <w:tcW w:w="1945" w:type="dxa"/>
          </w:tcPr>
          <w:p w14:paraId="466189E9" w14:textId="3D5BB41E"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2,400</w:t>
            </w:r>
          </w:p>
        </w:tc>
        <w:tc>
          <w:tcPr>
            <w:tcW w:w="1945" w:type="dxa"/>
          </w:tcPr>
          <w:p w14:paraId="26F4964C" w14:textId="6F54B112"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18,20</w:t>
            </w:r>
            <w:r w:rsidR="00DE4F4E" w:rsidRPr="00157E45">
              <w:rPr>
                <w:rFonts w:ascii="Arial" w:hAnsi="Arial" w:cs="Arial"/>
              </w:rPr>
              <w:t>0</w:t>
            </w:r>
          </w:p>
        </w:tc>
        <w:tc>
          <w:tcPr>
            <w:tcW w:w="1945" w:type="dxa"/>
          </w:tcPr>
          <w:p w14:paraId="43030DF4" w14:textId="1F19E31F" w:rsidR="00E2292A" w:rsidRPr="00157E45" w:rsidRDefault="00E2292A" w:rsidP="00E2292A">
            <w:pPr>
              <w:spacing w:after="120"/>
              <w:rPr>
                <w:rFonts w:ascii="Arial" w:hAnsi="Arial" w:cs="Arial"/>
              </w:rPr>
            </w:pPr>
            <w:r w:rsidRPr="00157E45">
              <w:rPr>
                <w:rFonts w:ascii="Arial" w:hAnsi="Arial" w:cs="Arial"/>
              </w:rPr>
              <w:t>36,60</w:t>
            </w:r>
            <w:r w:rsidR="00DE4F4E" w:rsidRPr="00157E45">
              <w:rPr>
                <w:rFonts w:ascii="Arial" w:hAnsi="Arial" w:cs="Arial"/>
              </w:rPr>
              <w:t>0</w:t>
            </w:r>
          </w:p>
        </w:tc>
        <w:tc>
          <w:tcPr>
            <w:tcW w:w="1945" w:type="dxa"/>
          </w:tcPr>
          <w:p w14:paraId="1036B59B" w14:textId="3F2ADF2C"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4,30</w:t>
            </w:r>
            <w:r w:rsidR="00DE4F4E" w:rsidRPr="00157E45">
              <w:rPr>
                <w:rFonts w:ascii="Arial" w:hAnsi="Arial" w:cs="Arial"/>
              </w:rPr>
              <w:t>0</w:t>
            </w:r>
          </w:p>
        </w:tc>
      </w:tr>
      <w:tr w:rsidR="00E2292A" w:rsidRPr="00157E45" w14:paraId="6E295725" w14:textId="77777777" w:rsidTr="007814F4">
        <w:tc>
          <w:tcPr>
            <w:tcW w:w="1288" w:type="dxa"/>
          </w:tcPr>
          <w:p w14:paraId="4D4CFDF4" w14:textId="0F323D71"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2022</w:t>
            </w:r>
          </w:p>
        </w:tc>
        <w:tc>
          <w:tcPr>
            <w:tcW w:w="1945" w:type="dxa"/>
          </w:tcPr>
          <w:p w14:paraId="1C720E36" w14:textId="751EE59D"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34,500</w:t>
            </w:r>
          </w:p>
        </w:tc>
        <w:tc>
          <w:tcPr>
            <w:tcW w:w="1945" w:type="dxa"/>
          </w:tcPr>
          <w:p w14:paraId="5E97FB3E" w14:textId="6AC07CB0"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451,90</w:t>
            </w:r>
            <w:r w:rsidR="00DE4F4E" w:rsidRPr="00157E45">
              <w:rPr>
                <w:rFonts w:ascii="Arial" w:hAnsi="Arial" w:cs="Arial"/>
              </w:rPr>
              <w:t>0</w:t>
            </w:r>
          </w:p>
        </w:tc>
        <w:tc>
          <w:tcPr>
            <w:tcW w:w="1945" w:type="dxa"/>
          </w:tcPr>
          <w:p w14:paraId="0F58CDDA" w14:textId="757C66BE" w:rsidR="00E2292A" w:rsidRPr="00157E45" w:rsidRDefault="00E2292A" w:rsidP="00E2292A">
            <w:pPr>
              <w:spacing w:after="120"/>
              <w:rPr>
                <w:rFonts w:ascii="Arial" w:hAnsi="Arial" w:cs="Arial"/>
              </w:rPr>
            </w:pPr>
            <w:r w:rsidRPr="00157E45">
              <w:rPr>
                <w:rFonts w:ascii="Arial" w:hAnsi="Arial" w:cs="Arial"/>
              </w:rPr>
              <w:t>496,50</w:t>
            </w:r>
            <w:r w:rsidR="00DE4F4E" w:rsidRPr="00157E45">
              <w:rPr>
                <w:rFonts w:ascii="Arial" w:hAnsi="Arial" w:cs="Arial"/>
              </w:rPr>
              <w:t>0</w:t>
            </w:r>
          </w:p>
        </w:tc>
        <w:tc>
          <w:tcPr>
            <w:tcW w:w="1945" w:type="dxa"/>
          </w:tcPr>
          <w:p w14:paraId="078E5A42" w14:textId="407E7C10"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64,70</w:t>
            </w:r>
            <w:r w:rsidR="00DE4F4E" w:rsidRPr="00157E45">
              <w:rPr>
                <w:rFonts w:ascii="Arial" w:hAnsi="Arial" w:cs="Arial"/>
              </w:rPr>
              <w:t>0</w:t>
            </w:r>
          </w:p>
        </w:tc>
      </w:tr>
      <w:tr w:rsidR="00E2292A" w:rsidRPr="00157E45" w14:paraId="04D282DC" w14:textId="77777777" w:rsidTr="007814F4">
        <w:tc>
          <w:tcPr>
            <w:tcW w:w="1288" w:type="dxa"/>
          </w:tcPr>
          <w:p w14:paraId="43010E84" w14:textId="6018405F"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w:t>
            </w:r>
            <w:r w:rsidR="007814F4" w:rsidRPr="00157E45">
              <w:rPr>
                <w:rFonts w:ascii="Arial" w:hAnsi="Arial" w:cs="Arial"/>
                <w:b/>
                <w:bCs/>
              </w:rPr>
              <w:t>3</w:t>
            </w:r>
          </w:p>
        </w:tc>
        <w:tc>
          <w:tcPr>
            <w:tcW w:w="1945" w:type="dxa"/>
          </w:tcPr>
          <w:p w14:paraId="24D06481" w14:textId="112FE2DD" w:rsidR="00E2292A" w:rsidRPr="00157E45" w:rsidRDefault="00EF6D2F" w:rsidP="00E2292A">
            <w:pPr>
              <w:spacing w:after="120"/>
              <w:rPr>
                <w:rFonts w:ascii="Arial" w:hAnsi="Arial" w:cs="Arial"/>
                <w:color w:val="000000" w:themeColor="text1"/>
                <w:sz w:val="22"/>
                <w:szCs w:val="22"/>
              </w:rPr>
            </w:pPr>
            <w:r w:rsidRPr="00157E45">
              <w:rPr>
                <w:rFonts w:ascii="Arial" w:hAnsi="Arial" w:cs="Arial"/>
              </w:rPr>
              <w:t>191</w:t>
            </w:r>
            <w:r w:rsidR="00E2292A" w:rsidRPr="00157E45">
              <w:rPr>
                <w:rFonts w:ascii="Arial" w:hAnsi="Arial" w:cs="Arial"/>
              </w:rPr>
              <w:t>,600</w:t>
            </w:r>
          </w:p>
        </w:tc>
        <w:tc>
          <w:tcPr>
            <w:tcW w:w="1945" w:type="dxa"/>
          </w:tcPr>
          <w:p w14:paraId="69AC6D6C" w14:textId="143D01E1" w:rsidR="00E2292A" w:rsidRPr="00157E45" w:rsidRDefault="006B07D6" w:rsidP="00E2292A">
            <w:pPr>
              <w:spacing w:after="120"/>
              <w:rPr>
                <w:rFonts w:ascii="Arial" w:hAnsi="Arial" w:cs="Arial"/>
                <w:color w:val="000000" w:themeColor="text1"/>
                <w:sz w:val="22"/>
                <w:szCs w:val="22"/>
              </w:rPr>
            </w:pPr>
            <w:r w:rsidRPr="00157E45">
              <w:rPr>
                <w:rFonts w:ascii="Arial" w:hAnsi="Arial" w:cs="Arial"/>
              </w:rPr>
              <w:t>763</w:t>
            </w:r>
            <w:r w:rsidR="00E2292A" w:rsidRPr="00157E45">
              <w:rPr>
                <w:rFonts w:ascii="Arial" w:hAnsi="Arial" w:cs="Arial"/>
              </w:rPr>
              <w:t>,</w:t>
            </w:r>
            <w:r w:rsidRPr="00157E45">
              <w:rPr>
                <w:rFonts w:ascii="Arial" w:hAnsi="Arial" w:cs="Arial"/>
              </w:rPr>
              <w:t>0</w:t>
            </w:r>
            <w:r w:rsidR="00E2292A" w:rsidRPr="00157E45">
              <w:rPr>
                <w:rFonts w:ascii="Arial" w:hAnsi="Arial" w:cs="Arial"/>
              </w:rPr>
              <w:t>0</w:t>
            </w:r>
            <w:r w:rsidR="00DE4F4E" w:rsidRPr="00157E45">
              <w:rPr>
                <w:rFonts w:ascii="Arial" w:hAnsi="Arial" w:cs="Arial"/>
              </w:rPr>
              <w:t>0</w:t>
            </w:r>
          </w:p>
        </w:tc>
        <w:tc>
          <w:tcPr>
            <w:tcW w:w="1945" w:type="dxa"/>
          </w:tcPr>
          <w:p w14:paraId="41955069" w14:textId="255A1CEA" w:rsidR="00E2292A" w:rsidRPr="00157E45" w:rsidRDefault="00923684" w:rsidP="00E2292A">
            <w:pPr>
              <w:spacing w:after="120"/>
              <w:rPr>
                <w:rFonts w:ascii="Arial" w:hAnsi="Arial" w:cs="Arial"/>
              </w:rPr>
            </w:pPr>
            <w:r w:rsidRPr="00157E45">
              <w:rPr>
                <w:rFonts w:ascii="Arial" w:hAnsi="Arial" w:cs="Arial"/>
              </w:rPr>
              <w:t>973</w:t>
            </w:r>
            <w:r w:rsidR="00E2292A" w:rsidRPr="00157E45">
              <w:rPr>
                <w:rFonts w:ascii="Arial" w:hAnsi="Arial" w:cs="Arial"/>
              </w:rPr>
              <w:t>,</w:t>
            </w:r>
            <w:r w:rsidRPr="00157E45">
              <w:rPr>
                <w:rFonts w:ascii="Arial" w:hAnsi="Arial" w:cs="Arial"/>
              </w:rPr>
              <w:t>5</w:t>
            </w:r>
            <w:r w:rsidR="00E2292A" w:rsidRPr="00157E45">
              <w:rPr>
                <w:rFonts w:ascii="Arial" w:hAnsi="Arial" w:cs="Arial"/>
              </w:rPr>
              <w:t>0</w:t>
            </w:r>
            <w:r w:rsidR="00DE4F4E" w:rsidRPr="00157E45">
              <w:rPr>
                <w:rFonts w:ascii="Arial" w:hAnsi="Arial" w:cs="Arial"/>
              </w:rPr>
              <w:t>0</w:t>
            </w:r>
          </w:p>
        </w:tc>
        <w:tc>
          <w:tcPr>
            <w:tcW w:w="1945" w:type="dxa"/>
          </w:tcPr>
          <w:p w14:paraId="16EEA9CB" w14:textId="394348A5"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923684" w:rsidRPr="00157E45">
              <w:rPr>
                <w:rFonts w:ascii="Arial" w:hAnsi="Arial" w:cs="Arial"/>
              </w:rPr>
              <w:t>22</w:t>
            </w:r>
            <w:r w:rsidRPr="00157E45">
              <w:rPr>
                <w:rFonts w:ascii="Arial" w:hAnsi="Arial" w:cs="Arial"/>
              </w:rPr>
              <w:t>,</w:t>
            </w:r>
            <w:r w:rsidR="00923684" w:rsidRPr="00157E45">
              <w:rPr>
                <w:rFonts w:ascii="Arial" w:hAnsi="Arial" w:cs="Arial"/>
              </w:rPr>
              <w:t>7</w:t>
            </w:r>
            <w:r w:rsidRPr="00157E45">
              <w:rPr>
                <w:rFonts w:ascii="Arial" w:hAnsi="Arial" w:cs="Arial"/>
              </w:rPr>
              <w:t>0</w:t>
            </w:r>
            <w:r w:rsidR="00DE4F4E" w:rsidRPr="00157E45">
              <w:rPr>
                <w:rFonts w:ascii="Arial" w:hAnsi="Arial" w:cs="Arial"/>
              </w:rPr>
              <w:t>0</w:t>
            </w:r>
          </w:p>
        </w:tc>
      </w:tr>
      <w:tr w:rsidR="00E2292A" w:rsidRPr="00157E45" w14:paraId="3C39F0C7" w14:textId="77777777" w:rsidTr="007814F4">
        <w:tc>
          <w:tcPr>
            <w:tcW w:w="1288" w:type="dxa"/>
          </w:tcPr>
          <w:p w14:paraId="1AF2EC38" w14:textId="0D0F5D45"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2024</w:t>
            </w:r>
          </w:p>
        </w:tc>
        <w:tc>
          <w:tcPr>
            <w:tcW w:w="1945" w:type="dxa"/>
          </w:tcPr>
          <w:p w14:paraId="2A089C03" w14:textId="3521CCED" w:rsidR="00E2292A" w:rsidRPr="00157E45" w:rsidRDefault="00EF6D2F" w:rsidP="00E2292A">
            <w:pPr>
              <w:spacing w:after="120"/>
              <w:rPr>
                <w:rFonts w:ascii="Arial" w:hAnsi="Arial" w:cs="Arial"/>
                <w:color w:val="000000" w:themeColor="text1"/>
                <w:sz w:val="22"/>
                <w:szCs w:val="22"/>
              </w:rPr>
            </w:pPr>
            <w:r w:rsidRPr="00157E45">
              <w:rPr>
                <w:rFonts w:ascii="Arial" w:hAnsi="Arial" w:cs="Arial"/>
              </w:rPr>
              <w:t>421</w:t>
            </w:r>
            <w:r w:rsidR="00E2292A" w:rsidRPr="00157E45">
              <w:rPr>
                <w:rFonts w:ascii="Arial" w:hAnsi="Arial" w:cs="Arial"/>
              </w:rPr>
              <w:t>,</w:t>
            </w:r>
            <w:r w:rsidRPr="00157E45">
              <w:rPr>
                <w:rFonts w:ascii="Arial" w:hAnsi="Arial" w:cs="Arial"/>
              </w:rPr>
              <w:t>5</w:t>
            </w:r>
            <w:r w:rsidR="00E2292A" w:rsidRPr="00157E45">
              <w:rPr>
                <w:rFonts w:ascii="Arial" w:hAnsi="Arial" w:cs="Arial"/>
              </w:rPr>
              <w:t>00</w:t>
            </w:r>
          </w:p>
        </w:tc>
        <w:tc>
          <w:tcPr>
            <w:tcW w:w="1945" w:type="dxa"/>
          </w:tcPr>
          <w:p w14:paraId="2755E90C" w14:textId="76881664"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6B07D6" w:rsidRPr="00157E45">
              <w:rPr>
                <w:rFonts w:ascii="Arial" w:hAnsi="Arial" w:cs="Arial"/>
              </w:rPr>
              <w:t>051</w:t>
            </w:r>
            <w:r w:rsidRPr="00157E45">
              <w:rPr>
                <w:rFonts w:ascii="Arial" w:hAnsi="Arial" w:cs="Arial"/>
              </w:rPr>
              <w:t>,</w:t>
            </w:r>
            <w:r w:rsidR="006B07D6" w:rsidRPr="00157E45">
              <w:rPr>
                <w:rFonts w:ascii="Arial" w:hAnsi="Arial" w:cs="Arial"/>
              </w:rPr>
              <w:t>2</w:t>
            </w:r>
            <w:r w:rsidRPr="00157E45">
              <w:rPr>
                <w:rFonts w:ascii="Arial" w:hAnsi="Arial" w:cs="Arial"/>
              </w:rPr>
              <w:t>0</w:t>
            </w:r>
            <w:r w:rsidR="00DE4F4E" w:rsidRPr="00157E45">
              <w:rPr>
                <w:rFonts w:ascii="Arial" w:hAnsi="Arial" w:cs="Arial"/>
              </w:rPr>
              <w:t>0</w:t>
            </w:r>
          </w:p>
        </w:tc>
        <w:tc>
          <w:tcPr>
            <w:tcW w:w="1945" w:type="dxa"/>
          </w:tcPr>
          <w:p w14:paraId="1E8CFED5" w14:textId="26A4E39D" w:rsidR="00E2292A" w:rsidRPr="00157E45" w:rsidRDefault="00E2292A" w:rsidP="00E2292A">
            <w:pPr>
              <w:spacing w:after="120"/>
              <w:rPr>
                <w:rFonts w:ascii="Arial" w:hAnsi="Arial" w:cs="Arial"/>
              </w:rPr>
            </w:pPr>
            <w:r w:rsidRPr="00157E45">
              <w:rPr>
                <w:rFonts w:ascii="Arial" w:hAnsi="Arial" w:cs="Arial"/>
              </w:rPr>
              <w:t>1,</w:t>
            </w:r>
            <w:r w:rsidR="00923684" w:rsidRPr="00157E45">
              <w:rPr>
                <w:rFonts w:ascii="Arial" w:hAnsi="Arial" w:cs="Arial"/>
              </w:rPr>
              <w:t>121</w:t>
            </w:r>
            <w:r w:rsidRPr="00157E45">
              <w:rPr>
                <w:rFonts w:ascii="Arial" w:hAnsi="Arial" w:cs="Arial"/>
              </w:rPr>
              <w:t>,</w:t>
            </w:r>
            <w:r w:rsidR="00923684" w:rsidRPr="00157E45">
              <w:rPr>
                <w:rFonts w:ascii="Arial" w:hAnsi="Arial" w:cs="Arial"/>
              </w:rPr>
              <w:t>5</w:t>
            </w:r>
            <w:r w:rsidRPr="00157E45">
              <w:rPr>
                <w:rFonts w:ascii="Arial" w:hAnsi="Arial" w:cs="Arial"/>
              </w:rPr>
              <w:t>0</w:t>
            </w:r>
            <w:r w:rsidR="00DE4F4E" w:rsidRPr="00157E45">
              <w:rPr>
                <w:rFonts w:ascii="Arial" w:hAnsi="Arial" w:cs="Arial"/>
              </w:rPr>
              <w:t>0</w:t>
            </w:r>
          </w:p>
        </w:tc>
        <w:tc>
          <w:tcPr>
            <w:tcW w:w="1945" w:type="dxa"/>
          </w:tcPr>
          <w:p w14:paraId="25DA2F8D" w14:textId="6079D009"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923684" w:rsidRPr="00157E45">
              <w:rPr>
                <w:rFonts w:ascii="Arial" w:hAnsi="Arial" w:cs="Arial"/>
              </w:rPr>
              <w:t>27</w:t>
            </w:r>
            <w:r w:rsidRPr="00157E45">
              <w:rPr>
                <w:rFonts w:ascii="Arial" w:hAnsi="Arial" w:cs="Arial"/>
              </w:rPr>
              <w:t>,</w:t>
            </w:r>
            <w:r w:rsidR="00923684" w:rsidRPr="00157E45">
              <w:rPr>
                <w:rFonts w:ascii="Arial" w:hAnsi="Arial" w:cs="Arial"/>
              </w:rPr>
              <w:t>3</w:t>
            </w:r>
            <w:r w:rsidRPr="00157E45">
              <w:rPr>
                <w:rFonts w:ascii="Arial" w:hAnsi="Arial" w:cs="Arial"/>
              </w:rPr>
              <w:t>0</w:t>
            </w:r>
            <w:r w:rsidR="00DE4F4E" w:rsidRPr="00157E45">
              <w:rPr>
                <w:rFonts w:ascii="Arial" w:hAnsi="Arial" w:cs="Arial"/>
              </w:rPr>
              <w:t>0</w:t>
            </w:r>
          </w:p>
        </w:tc>
      </w:tr>
      <w:tr w:rsidR="00E2292A" w:rsidRPr="00157E45" w14:paraId="4700D4A6" w14:textId="77777777" w:rsidTr="007814F4">
        <w:tc>
          <w:tcPr>
            <w:tcW w:w="1288" w:type="dxa"/>
          </w:tcPr>
          <w:p w14:paraId="15D6C92E" w14:textId="03D84AFE"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2025</w:t>
            </w:r>
          </w:p>
        </w:tc>
        <w:tc>
          <w:tcPr>
            <w:tcW w:w="1945" w:type="dxa"/>
          </w:tcPr>
          <w:p w14:paraId="07D3D73C" w14:textId="10225BFE" w:rsidR="00E2292A" w:rsidRPr="00157E45" w:rsidRDefault="00EF6D2F" w:rsidP="00E2292A">
            <w:pPr>
              <w:spacing w:after="120"/>
              <w:rPr>
                <w:rFonts w:ascii="Arial" w:hAnsi="Arial" w:cs="Arial"/>
                <w:color w:val="000000" w:themeColor="text1"/>
                <w:sz w:val="22"/>
                <w:szCs w:val="22"/>
              </w:rPr>
            </w:pPr>
            <w:r w:rsidRPr="00157E45">
              <w:rPr>
                <w:rFonts w:ascii="Arial" w:hAnsi="Arial" w:cs="Arial"/>
              </w:rPr>
              <w:t>530</w:t>
            </w:r>
            <w:r w:rsidR="00E2292A" w:rsidRPr="00157E45">
              <w:rPr>
                <w:rFonts w:ascii="Arial" w:hAnsi="Arial" w:cs="Arial"/>
              </w:rPr>
              <w:t>,</w:t>
            </w:r>
            <w:r w:rsidRPr="00157E45">
              <w:rPr>
                <w:rFonts w:ascii="Arial" w:hAnsi="Arial" w:cs="Arial"/>
              </w:rPr>
              <w:t>4</w:t>
            </w:r>
            <w:r w:rsidR="00E2292A" w:rsidRPr="00157E45">
              <w:rPr>
                <w:rFonts w:ascii="Arial" w:hAnsi="Arial" w:cs="Arial"/>
              </w:rPr>
              <w:t>00</w:t>
            </w:r>
          </w:p>
        </w:tc>
        <w:tc>
          <w:tcPr>
            <w:tcW w:w="1945" w:type="dxa"/>
          </w:tcPr>
          <w:p w14:paraId="64F4D4F6" w14:textId="42D3C057"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6B07D6" w:rsidRPr="00157E45">
              <w:rPr>
                <w:rFonts w:ascii="Arial" w:hAnsi="Arial" w:cs="Arial"/>
              </w:rPr>
              <w:t>168</w:t>
            </w:r>
            <w:r w:rsidRPr="00157E45">
              <w:rPr>
                <w:rFonts w:ascii="Arial" w:hAnsi="Arial" w:cs="Arial"/>
              </w:rPr>
              <w:t>,80</w:t>
            </w:r>
            <w:r w:rsidR="00DE4F4E" w:rsidRPr="00157E45">
              <w:rPr>
                <w:rFonts w:ascii="Arial" w:hAnsi="Arial" w:cs="Arial"/>
              </w:rPr>
              <w:t>0</w:t>
            </w:r>
          </w:p>
        </w:tc>
        <w:tc>
          <w:tcPr>
            <w:tcW w:w="1945" w:type="dxa"/>
          </w:tcPr>
          <w:p w14:paraId="3D3CD8EE" w14:textId="736F3583" w:rsidR="00E2292A" w:rsidRPr="00157E45" w:rsidRDefault="00E2292A" w:rsidP="00E2292A">
            <w:pPr>
              <w:spacing w:after="120"/>
              <w:rPr>
                <w:rFonts w:ascii="Arial" w:hAnsi="Arial" w:cs="Arial"/>
              </w:rPr>
            </w:pPr>
            <w:r w:rsidRPr="00157E45">
              <w:rPr>
                <w:rFonts w:ascii="Arial" w:hAnsi="Arial" w:cs="Arial"/>
              </w:rPr>
              <w:t>1,</w:t>
            </w:r>
            <w:r w:rsidR="00923684" w:rsidRPr="00157E45">
              <w:rPr>
                <w:rFonts w:ascii="Arial" w:hAnsi="Arial" w:cs="Arial"/>
              </w:rPr>
              <w:t>200</w:t>
            </w:r>
            <w:r w:rsidRPr="00157E45">
              <w:rPr>
                <w:rFonts w:ascii="Arial" w:hAnsi="Arial" w:cs="Arial"/>
              </w:rPr>
              <w:t>,</w:t>
            </w:r>
            <w:r w:rsidR="00923684" w:rsidRPr="00157E45">
              <w:rPr>
                <w:rFonts w:ascii="Arial" w:hAnsi="Arial" w:cs="Arial"/>
              </w:rPr>
              <w:t>0</w:t>
            </w:r>
            <w:r w:rsidRPr="00157E45">
              <w:rPr>
                <w:rFonts w:ascii="Arial" w:hAnsi="Arial" w:cs="Arial"/>
              </w:rPr>
              <w:t>0</w:t>
            </w:r>
            <w:r w:rsidR="00DE4F4E" w:rsidRPr="00157E45">
              <w:rPr>
                <w:rFonts w:ascii="Arial" w:hAnsi="Arial" w:cs="Arial"/>
              </w:rPr>
              <w:t>0</w:t>
            </w:r>
          </w:p>
        </w:tc>
        <w:tc>
          <w:tcPr>
            <w:tcW w:w="1945" w:type="dxa"/>
          </w:tcPr>
          <w:p w14:paraId="1F9ADC1A" w14:textId="00A368D4"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923684" w:rsidRPr="00157E45">
              <w:rPr>
                <w:rFonts w:ascii="Arial" w:hAnsi="Arial" w:cs="Arial"/>
              </w:rPr>
              <w:t>44</w:t>
            </w:r>
            <w:r w:rsidRPr="00157E45">
              <w:rPr>
                <w:rFonts w:ascii="Arial" w:hAnsi="Arial" w:cs="Arial"/>
              </w:rPr>
              <w:t>,</w:t>
            </w:r>
            <w:r w:rsidR="00923684" w:rsidRPr="00157E45">
              <w:rPr>
                <w:rFonts w:ascii="Arial" w:hAnsi="Arial" w:cs="Arial"/>
              </w:rPr>
              <w:t>8</w:t>
            </w:r>
            <w:r w:rsidRPr="00157E45">
              <w:rPr>
                <w:rFonts w:ascii="Arial" w:hAnsi="Arial" w:cs="Arial"/>
              </w:rPr>
              <w:t>0</w:t>
            </w:r>
            <w:r w:rsidR="00DE4F4E" w:rsidRPr="00157E45">
              <w:rPr>
                <w:rFonts w:ascii="Arial" w:hAnsi="Arial" w:cs="Arial"/>
              </w:rPr>
              <w:t>0</w:t>
            </w:r>
          </w:p>
        </w:tc>
      </w:tr>
      <w:tr w:rsidR="00E2292A" w:rsidRPr="00157E45" w14:paraId="6B90EF66" w14:textId="77777777" w:rsidTr="007814F4">
        <w:tc>
          <w:tcPr>
            <w:tcW w:w="1288" w:type="dxa"/>
          </w:tcPr>
          <w:p w14:paraId="05EACAF6" w14:textId="3A5B9DBF"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2026</w:t>
            </w:r>
          </w:p>
        </w:tc>
        <w:tc>
          <w:tcPr>
            <w:tcW w:w="1945" w:type="dxa"/>
          </w:tcPr>
          <w:p w14:paraId="0928E43B" w14:textId="556B4AD3" w:rsidR="00E2292A" w:rsidRPr="00157E45" w:rsidRDefault="00B824C8" w:rsidP="00E2292A">
            <w:pPr>
              <w:spacing w:after="120"/>
              <w:rPr>
                <w:rFonts w:ascii="Arial" w:hAnsi="Arial" w:cs="Arial"/>
                <w:color w:val="000000" w:themeColor="text1"/>
                <w:sz w:val="22"/>
                <w:szCs w:val="22"/>
              </w:rPr>
            </w:pPr>
            <w:r w:rsidRPr="00157E45">
              <w:rPr>
                <w:rFonts w:ascii="Arial" w:hAnsi="Arial" w:cs="Arial"/>
              </w:rPr>
              <w:t>615</w:t>
            </w:r>
            <w:r w:rsidR="00E2292A" w:rsidRPr="00157E45">
              <w:rPr>
                <w:rFonts w:ascii="Arial" w:hAnsi="Arial" w:cs="Arial"/>
              </w:rPr>
              <w:t>,</w:t>
            </w:r>
            <w:r w:rsidRPr="00157E45">
              <w:rPr>
                <w:rFonts w:ascii="Arial" w:hAnsi="Arial" w:cs="Arial"/>
              </w:rPr>
              <w:t>0</w:t>
            </w:r>
            <w:r w:rsidR="00E2292A" w:rsidRPr="00157E45">
              <w:rPr>
                <w:rFonts w:ascii="Arial" w:hAnsi="Arial" w:cs="Arial"/>
              </w:rPr>
              <w:t>00</w:t>
            </w:r>
          </w:p>
        </w:tc>
        <w:tc>
          <w:tcPr>
            <w:tcW w:w="1945" w:type="dxa"/>
          </w:tcPr>
          <w:p w14:paraId="00C86D00" w14:textId="071A91D6"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6B07D6" w:rsidRPr="00157E45">
              <w:rPr>
                <w:rFonts w:ascii="Arial" w:hAnsi="Arial" w:cs="Arial"/>
              </w:rPr>
              <w:t>286</w:t>
            </w:r>
            <w:r w:rsidRPr="00157E45">
              <w:rPr>
                <w:rFonts w:ascii="Arial" w:hAnsi="Arial" w:cs="Arial"/>
              </w:rPr>
              <w:t>,</w:t>
            </w:r>
            <w:r w:rsidR="006B07D6" w:rsidRPr="00157E45">
              <w:rPr>
                <w:rFonts w:ascii="Arial" w:hAnsi="Arial" w:cs="Arial"/>
              </w:rPr>
              <w:t>1</w:t>
            </w:r>
            <w:r w:rsidRPr="00157E45">
              <w:rPr>
                <w:rFonts w:ascii="Arial" w:hAnsi="Arial" w:cs="Arial"/>
              </w:rPr>
              <w:t>0</w:t>
            </w:r>
            <w:r w:rsidR="00DE4F4E" w:rsidRPr="00157E45">
              <w:rPr>
                <w:rFonts w:ascii="Arial" w:hAnsi="Arial" w:cs="Arial"/>
              </w:rPr>
              <w:t>0</w:t>
            </w:r>
          </w:p>
        </w:tc>
        <w:tc>
          <w:tcPr>
            <w:tcW w:w="1945" w:type="dxa"/>
          </w:tcPr>
          <w:p w14:paraId="405F3726" w14:textId="6353A894" w:rsidR="00E2292A" w:rsidRPr="00157E45" w:rsidRDefault="00E2292A" w:rsidP="00E2292A">
            <w:pPr>
              <w:spacing w:after="120"/>
              <w:rPr>
                <w:rFonts w:ascii="Arial" w:hAnsi="Arial" w:cs="Arial"/>
              </w:rPr>
            </w:pPr>
            <w:r w:rsidRPr="00157E45">
              <w:rPr>
                <w:rFonts w:ascii="Arial" w:hAnsi="Arial" w:cs="Arial"/>
              </w:rPr>
              <w:t>1,</w:t>
            </w:r>
            <w:r w:rsidR="00923684" w:rsidRPr="00157E45">
              <w:rPr>
                <w:rFonts w:ascii="Arial" w:hAnsi="Arial" w:cs="Arial"/>
              </w:rPr>
              <w:t>267</w:t>
            </w:r>
            <w:r w:rsidRPr="00157E45">
              <w:rPr>
                <w:rFonts w:ascii="Arial" w:hAnsi="Arial" w:cs="Arial"/>
              </w:rPr>
              <w:t>,</w:t>
            </w:r>
            <w:r w:rsidR="00923684" w:rsidRPr="00157E45">
              <w:rPr>
                <w:rFonts w:ascii="Arial" w:hAnsi="Arial" w:cs="Arial"/>
              </w:rPr>
              <w:t>6</w:t>
            </w:r>
            <w:r w:rsidRPr="00157E45">
              <w:rPr>
                <w:rFonts w:ascii="Arial" w:hAnsi="Arial" w:cs="Arial"/>
              </w:rPr>
              <w:t>0</w:t>
            </w:r>
            <w:r w:rsidR="00DE4F4E" w:rsidRPr="00157E45">
              <w:rPr>
                <w:rFonts w:ascii="Arial" w:hAnsi="Arial" w:cs="Arial"/>
              </w:rPr>
              <w:t>0</w:t>
            </w:r>
          </w:p>
        </w:tc>
        <w:tc>
          <w:tcPr>
            <w:tcW w:w="1945" w:type="dxa"/>
          </w:tcPr>
          <w:p w14:paraId="240A4A01" w14:textId="3D7D2BE8"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923684" w:rsidRPr="00157E45">
              <w:rPr>
                <w:rFonts w:ascii="Arial" w:hAnsi="Arial" w:cs="Arial"/>
              </w:rPr>
              <w:t>5</w:t>
            </w:r>
            <w:r w:rsidRPr="00157E45">
              <w:rPr>
                <w:rFonts w:ascii="Arial" w:hAnsi="Arial" w:cs="Arial"/>
              </w:rPr>
              <w:t>9,</w:t>
            </w:r>
            <w:r w:rsidR="00923684" w:rsidRPr="00157E45">
              <w:rPr>
                <w:rFonts w:ascii="Arial" w:hAnsi="Arial" w:cs="Arial"/>
              </w:rPr>
              <w:t>2</w:t>
            </w:r>
            <w:r w:rsidRPr="00157E45">
              <w:rPr>
                <w:rFonts w:ascii="Arial" w:hAnsi="Arial" w:cs="Arial"/>
              </w:rPr>
              <w:t>0</w:t>
            </w:r>
            <w:r w:rsidR="00DE4F4E" w:rsidRPr="00157E45">
              <w:rPr>
                <w:rFonts w:ascii="Arial" w:hAnsi="Arial" w:cs="Arial"/>
              </w:rPr>
              <w:t>0</w:t>
            </w:r>
          </w:p>
        </w:tc>
      </w:tr>
      <w:tr w:rsidR="00E2292A" w:rsidRPr="00157E45" w14:paraId="5340D81C" w14:textId="77777777" w:rsidTr="007814F4">
        <w:tc>
          <w:tcPr>
            <w:tcW w:w="1288" w:type="dxa"/>
          </w:tcPr>
          <w:p w14:paraId="323D1F8E" w14:textId="14B6BD11"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2027</w:t>
            </w:r>
          </w:p>
        </w:tc>
        <w:tc>
          <w:tcPr>
            <w:tcW w:w="1945" w:type="dxa"/>
          </w:tcPr>
          <w:p w14:paraId="390789C1" w14:textId="36935AD7" w:rsidR="00E2292A" w:rsidRPr="00157E45" w:rsidRDefault="00B824C8" w:rsidP="00E2292A">
            <w:pPr>
              <w:spacing w:after="120"/>
              <w:rPr>
                <w:rFonts w:ascii="Arial" w:hAnsi="Arial" w:cs="Arial"/>
                <w:color w:val="000000" w:themeColor="text1"/>
                <w:sz w:val="22"/>
                <w:szCs w:val="22"/>
              </w:rPr>
            </w:pPr>
            <w:r w:rsidRPr="00157E45">
              <w:rPr>
                <w:rFonts w:ascii="Arial" w:hAnsi="Arial" w:cs="Arial"/>
              </w:rPr>
              <w:t>686</w:t>
            </w:r>
            <w:r w:rsidR="00E2292A" w:rsidRPr="00157E45">
              <w:rPr>
                <w:rFonts w:ascii="Arial" w:hAnsi="Arial" w:cs="Arial"/>
              </w:rPr>
              <w:t>,</w:t>
            </w:r>
            <w:r w:rsidRPr="00157E45">
              <w:rPr>
                <w:rFonts w:ascii="Arial" w:hAnsi="Arial" w:cs="Arial"/>
              </w:rPr>
              <w:t>1</w:t>
            </w:r>
            <w:r w:rsidR="00E2292A" w:rsidRPr="00157E45">
              <w:rPr>
                <w:rFonts w:ascii="Arial" w:hAnsi="Arial" w:cs="Arial"/>
              </w:rPr>
              <w:t>00</w:t>
            </w:r>
          </w:p>
        </w:tc>
        <w:tc>
          <w:tcPr>
            <w:tcW w:w="1945" w:type="dxa"/>
          </w:tcPr>
          <w:p w14:paraId="713C8BD9" w14:textId="4D383F2D"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6B07D6" w:rsidRPr="00157E45">
              <w:rPr>
                <w:rFonts w:ascii="Arial" w:hAnsi="Arial" w:cs="Arial"/>
              </w:rPr>
              <w:t>379</w:t>
            </w:r>
            <w:r w:rsidRPr="00157E45">
              <w:rPr>
                <w:rFonts w:ascii="Arial" w:hAnsi="Arial" w:cs="Arial"/>
              </w:rPr>
              <w:t>,</w:t>
            </w:r>
            <w:r w:rsidR="006B07D6" w:rsidRPr="00157E45">
              <w:rPr>
                <w:rFonts w:ascii="Arial" w:hAnsi="Arial" w:cs="Arial"/>
              </w:rPr>
              <w:t>9</w:t>
            </w:r>
            <w:r w:rsidRPr="00157E45">
              <w:rPr>
                <w:rFonts w:ascii="Arial" w:hAnsi="Arial" w:cs="Arial"/>
              </w:rPr>
              <w:t>0</w:t>
            </w:r>
            <w:r w:rsidR="00DE4F4E" w:rsidRPr="00157E45">
              <w:rPr>
                <w:rFonts w:ascii="Arial" w:hAnsi="Arial" w:cs="Arial"/>
              </w:rPr>
              <w:t>0</w:t>
            </w:r>
          </w:p>
        </w:tc>
        <w:tc>
          <w:tcPr>
            <w:tcW w:w="1945" w:type="dxa"/>
          </w:tcPr>
          <w:p w14:paraId="72EC2C90" w14:textId="338123C9" w:rsidR="00E2292A" w:rsidRPr="00157E45" w:rsidRDefault="00E2292A" w:rsidP="00E2292A">
            <w:pPr>
              <w:spacing w:after="120"/>
              <w:rPr>
                <w:rFonts w:ascii="Arial" w:hAnsi="Arial" w:cs="Arial"/>
              </w:rPr>
            </w:pPr>
            <w:r w:rsidRPr="00157E45">
              <w:rPr>
                <w:rFonts w:ascii="Arial" w:hAnsi="Arial" w:cs="Arial"/>
              </w:rPr>
              <w:t>1,</w:t>
            </w:r>
            <w:r w:rsidR="00923684" w:rsidRPr="00157E45">
              <w:rPr>
                <w:rFonts w:ascii="Arial" w:hAnsi="Arial" w:cs="Arial"/>
              </w:rPr>
              <w:t>326</w:t>
            </w:r>
            <w:r w:rsidRPr="00157E45">
              <w:rPr>
                <w:rFonts w:ascii="Arial" w:hAnsi="Arial" w:cs="Arial"/>
              </w:rPr>
              <w:t>,</w:t>
            </w:r>
            <w:r w:rsidR="00923684" w:rsidRPr="00157E45">
              <w:rPr>
                <w:rFonts w:ascii="Arial" w:hAnsi="Arial" w:cs="Arial"/>
              </w:rPr>
              <w:t>2</w:t>
            </w:r>
            <w:r w:rsidRPr="00157E45">
              <w:rPr>
                <w:rFonts w:ascii="Arial" w:hAnsi="Arial" w:cs="Arial"/>
              </w:rPr>
              <w:t>0</w:t>
            </w:r>
            <w:r w:rsidR="00DE4F4E" w:rsidRPr="00157E45">
              <w:rPr>
                <w:rFonts w:ascii="Arial" w:hAnsi="Arial" w:cs="Arial"/>
              </w:rPr>
              <w:t>0</w:t>
            </w:r>
          </w:p>
        </w:tc>
        <w:tc>
          <w:tcPr>
            <w:tcW w:w="1945" w:type="dxa"/>
          </w:tcPr>
          <w:p w14:paraId="3ACE02C3" w14:textId="530488A2" w:rsidR="00E2292A" w:rsidRPr="00157E45" w:rsidRDefault="00923684" w:rsidP="00E2292A">
            <w:pPr>
              <w:spacing w:after="120"/>
              <w:rPr>
                <w:rFonts w:ascii="Arial" w:hAnsi="Arial" w:cs="Arial"/>
                <w:color w:val="000000" w:themeColor="text1"/>
                <w:sz w:val="22"/>
                <w:szCs w:val="22"/>
              </w:rPr>
            </w:pPr>
            <w:r w:rsidRPr="00157E45">
              <w:rPr>
                <w:rFonts w:ascii="Arial" w:hAnsi="Arial" w:cs="Arial"/>
              </w:rPr>
              <w:t>17</w:t>
            </w:r>
            <w:r w:rsidR="00E2292A" w:rsidRPr="00157E45">
              <w:rPr>
                <w:rFonts w:ascii="Arial" w:hAnsi="Arial" w:cs="Arial"/>
              </w:rPr>
              <w:t>0,</w:t>
            </w:r>
            <w:r w:rsidRPr="00157E45">
              <w:rPr>
                <w:rFonts w:ascii="Arial" w:hAnsi="Arial" w:cs="Arial"/>
              </w:rPr>
              <w:t>8</w:t>
            </w:r>
            <w:r w:rsidR="00E2292A" w:rsidRPr="00157E45">
              <w:rPr>
                <w:rFonts w:ascii="Arial" w:hAnsi="Arial" w:cs="Arial"/>
              </w:rPr>
              <w:t>0</w:t>
            </w:r>
            <w:r w:rsidR="00DE4F4E" w:rsidRPr="00157E45">
              <w:rPr>
                <w:rFonts w:ascii="Arial" w:hAnsi="Arial" w:cs="Arial"/>
              </w:rPr>
              <w:t>0</w:t>
            </w:r>
          </w:p>
        </w:tc>
      </w:tr>
      <w:tr w:rsidR="00E2292A" w:rsidRPr="00157E45" w14:paraId="3C4F3C32" w14:textId="77777777" w:rsidTr="007814F4">
        <w:tc>
          <w:tcPr>
            <w:tcW w:w="1288" w:type="dxa"/>
          </w:tcPr>
          <w:p w14:paraId="79AF8C40" w14:textId="44F5FBCA" w:rsidR="00E2292A" w:rsidRPr="00157E45" w:rsidRDefault="00E2292A" w:rsidP="00E2292A">
            <w:pPr>
              <w:spacing w:after="120"/>
              <w:rPr>
                <w:rFonts w:ascii="Arial" w:hAnsi="Arial" w:cs="Arial"/>
                <w:b/>
                <w:bCs/>
                <w:color w:val="000000" w:themeColor="text1"/>
                <w:sz w:val="22"/>
                <w:szCs w:val="22"/>
              </w:rPr>
            </w:pPr>
            <w:r w:rsidRPr="00157E45">
              <w:rPr>
                <w:rFonts w:ascii="Arial" w:hAnsi="Arial" w:cs="Arial"/>
                <w:b/>
                <w:bCs/>
              </w:rPr>
              <w:t>2028</w:t>
            </w:r>
          </w:p>
        </w:tc>
        <w:tc>
          <w:tcPr>
            <w:tcW w:w="1945" w:type="dxa"/>
          </w:tcPr>
          <w:p w14:paraId="6497EA33" w14:textId="3A9806A7" w:rsidR="00E2292A" w:rsidRPr="00157E45" w:rsidRDefault="00B824C8" w:rsidP="00E2292A">
            <w:pPr>
              <w:spacing w:after="120"/>
              <w:rPr>
                <w:rFonts w:ascii="Arial" w:hAnsi="Arial" w:cs="Arial"/>
                <w:color w:val="000000" w:themeColor="text1"/>
                <w:sz w:val="22"/>
                <w:szCs w:val="22"/>
              </w:rPr>
            </w:pPr>
            <w:r w:rsidRPr="00157E45">
              <w:rPr>
                <w:rFonts w:ascii="Arial" w:hAnsi="Arial" w:cs="Arial"/>
              </w:rPr>
              <w:t>745</w:t>
            </w:r>
            <w:r w:rsidR="00E2292A" w:rsidRPr="00157E45">
              <w:rPr>
                <w:rFonts w:ascii="Arial" w:hAnsi="Arial" w:cs="Arial"/>
              </w:rPr>
              <w:t>,</w:t>
            </w:r>
            <w:r w:rsidRPr="00157E45">
              <w:rPr>
                <w:rFonts w:ascii="Arial" w:hAnsi="Arial" w:cs="Arial"/>
              </w:rPr>
              <w:t>0</w:t>
            </w:r>
            <w:r w:rsidR="00E2292A" w:rsidRPr="00157E45">
              <w:rPr>
                <w:rFonts w:ascii="Arial" w:hAnsi="Arial" w:cs="Arial"/>
              </w:rPr>
              <w:t>00</w:t>
            </w:r>
          </w:p>
        </w:tc>
        <w:tc>
          <w:tcPr>
            <w:tcW w:w="1945" w:type="dxa"/>
          </w:tcPr>
          <w:p w14:paraId="33009DF7" w14:textId="6157757F"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6B07D6" w:rsidRPr="00157E45">
              <w:rPr>
                <w:rFonts w:ascii="Arial" w:hAnsi="Arial" w:cs="Arial"/>
              </w:rPr>
              <w:t>45</w:t>
            </w:r>
            <w:r w:rsidRPr="00157E45">
              <w:rPr>
                <w:rFonts w:ascii="Arial" w:hAnsi="Arial" w:cs="Arial"/>
              </w:rPr>
              <w:t>7,80</w:t>
            </w:r>
            <w:r w:rsidR="00DE4F4E" w:rsidRPr="00157E45">
              <w:rPr>
                <w:rFonts w:ascii="Arial" w:hAnsi="Arial" w:cs="Arial"/>
              </w:rPr>
              <w:t>0</w:t>
            </w:r>
          </w:p>
        </w:tc>
        <w:tc>
          <w:tcPr>
            <w:tcW w:w="1945" w:type="dxa"/>
          </w:tcPr>
          <w:p w14:paraId="629DF2C3" w14:textId="74C76498" w:rsidR="00E2292A" w:rsidRPr="00157E45" w:rsidRDefault="00E2292A" w:rsidP="00E2292A">
            <w:pPr>
              <w:spacing w:after="120"/>
              <w:rPr>
                <w:rFonts w:ascii="Arial" w:hAnsi="Arial" w:cs="Arial"/>
              </w:rPr>
            </w:pPr>
            <w:r w:rsidRPr="00157E45">
              <w:rPr>
                <w:rFonts w:ascii="Arial" w:hAnsi="Arial" w:cs="Arial"/>
              </w:rPr>
              <w:t>1,</w:t>
            </w:r>
            <w:r w:rsidR="00923684" w:rsidRPr="00157E45">
              <w:rPr>
                <w:rFonts w:ascii="Arial" w:hAnsi="Arial" w:cs="Arial"/>
              </w:rPr>
              <w:t>377</w:t>
            </w:r>
            <w:r w:rsidRPr="00157E45">
              <w:rPr>
                <w:rFonts w:ascii="Arial" w:hAnsi="Arial" w:cs="Arial"/>
              </w:rPr>
              <w:t>,</w:t>
            </w:r>
            <w:r w:rsidR="00923684" w:rsidRPr="00157E45">
              <w:rPr>
                <w:rFonts w:ascii="Arial" w:hAnsi="Arial" w:cs="Arial"/>
              </w:rPr>
              <w:t>4</w:t>
            </w:r>
            <w:r w:rsidRPr="00157E45">
              <w:rPr>
                <w:rFonts w:ascii="Arial" w:hAnsi="Arial" w:cs="Arial"/>
              </w:rPr>
              <w:t>0</w:t>
            </w:r>
            <w:r w:rsidR="00DE4F4E" w:rsidRPr="00157E45">
              <w:rPr>
                <w:rFonts w:ascii="Arial" w:hAnsi="Arial" w:cs="Arial"/>
              </w:rPr>
              <w:t>0</w:t>
            </w:r>
          </w:p>
        </w:tc>
        <w:tc>
          <w:tcPr>
            <w:tcW w:w="1945" w:type="dxa"/>
          </w:tcPr>
          <w:p w14:paraId="39B8D4BD" w14:textId="64259FAB" w:rsidR="00E2292A" w:rsidRPr="00157E45" w:rsidRDefault="00E2292A" w:rsidP="00E2292A">
            <w:pPr>
              <w:spacing w:after="120"/>
              <w:rPr>
                <w:rFonts w:ascii="Arial" w:hAnsi="Arial" w:cs="Arial"/>
                <w:color w:val="000000" w:themeColor="text1"/>
                <w:sz w:val="22"/>
                <w:szCs w:val="22"/>
              </w:rPr>
            </w:pPr>
            <w:r w:rsidRPr="00157E45">
              <w:rPr>
                <w:rFonts w:ascii="Arial" w:hAnsi="Arial" w:cs="Arial"/>
              </w:rPr>
              <w:t>1</w:t>
            </w:r>
            <w:r w:rsidR="00B23128" w:rsidRPr="00157E45">
              <w:rPr>
                <w:rFonts w:ascii="Arial" w:hAnsi="Arial" w:cs="Arial"/>
              </w:rPr>
              <w:t>8</w:t>
            </w:r>
            <w:r w:rsidRPr="00157E45">
              <w:rPr>
                <w:rFonts w:ascii="Arial" w:hAnsi="Arial" w:cs="Arial"/>
              </w:rPr>
              <w:t>0,</w:t>
            </w:r>
            <w:r w:rsidR="00B23128" w:rsidRPr="00157E45">
              <w:rPr>
                <w:rFonts w:ascii="Arial" w:hAnsi="Arial" w:cs="Arial"/>
              </w:rPr>
              <w:t>2</w:t>
            </w:r>
            <w:r w:rsidRPr="00157E45">
              <w:rPr>
                <w:rFonts w:ascii="Arial" w:hAnsi="Arial" w:cs="Arial"/>
              </w:rPr>
              <w:t>0</w:t>
            </w:r>
            <w:r w:rsidR="00DE4F4E" w:rsidRPr="00157E45">
              <w:rPr>
                <w:rFonts w:ascii="Arial" w:hAnsi="Arial" w:cs="Arial"/>
              </w:rPr>
              <w:t>0</w:t>
            </w:r>
          </w:p>
        </w:tc>
      </w:tr>
      <w:tr w:rsidR="00B824C8" w:rsidRPr="00157E45" w14:paraId="4C702D29" w14:textId="77777777" w:rsidTr="007814F4">
        <w:tc>
          <w:tcPr>
            <w:tcW w:w="1288" w:type="dxa"/>
          </w:tcPr>
          <w:p w14:paraId="46C52711" w14:textId="31B5951B" w:rsidR="00B824C8" w:rsidRPr="00157E45" w:rsidRDefault="00B824C8" w:rsidP="00B824C8">
            <w:pPr>
              <w:spacing w:after="120"/>
              <w:rPr>
                <w:rFonts w:ascii="Arial" w:hAnsi="Arial" w:cs="Arial"/>
                <w:b/>
                <w:bCs/>
              </w:rPr>
            </w:pPr>
            <w:r w:rsidRPr="00157E45">
              <w:rPr>
                <w:rFonts w:ascii="Arial" w:hAnsi="Arial" w:cs="Arial"/>
                <w:b/>
                <w:bCs/>
              </w:rPr>
              <w:t>2029</w:t>
            </w:r>
          </w:p>
        </w:tc>
        <w:tc>
          <w:tcPr>
            <w:tcW w:w="1945" w:type="dxa"/>
          </w:tcPr>
          <w:p w14:paraId="6F6EA2FC" w14:textId="407744D2" w:rsidR="00B824C8" w:rsidRPr="00157E45" w:rsidRDefault="00B824C8" w:rsidP="00B824C8">
            <w:pPr>
              <w:spacing w:after="120"/>
              <w:rPr>
                <w:rFonts w:ascii="Arial" w:hAnsi="Arial" w:cs="Arial"/>
                <w:color w:val="000000" w:themeColor="text1"/>
                <w:sz w:val="22"/>
                <w:szCs w:val="22"/>
              </w:rPr>
            </w:pPr>
            <w:r w:rsidRPr="00157E45">
              <w:rPr>
                <w:rFonts w:ascii="Arial" w:hAnsi="Arial" w:cs="Arial"/>
              </w:rPr>
              <w:t>797,600</w:t>
            </w:r>
          </w:p>
        </w:tc>
        <w:tc>
          <w:tcPr>
            <w:tcW w:w="1945" w:type="dxa"/>
          </w:tcPr>
          <w:p w14:paraId="026F9E34" w14:textId="69CB7542" w:rsidR="00B824C8" w:rsidRPr="00157E45" w:rsidRDefault="00B824C8" w:rsidP="00B824C8">
            <w:pPr>
              <w:spacing w:after="120"/>
              <w:rPr>
                <w:rFonts w:ascii="Arial" w:hAnsi="Arial" w:cs="Arial"/>
                <w:color w:val="000000" w:themeColor="text1"/>
                <w:sz w:val="22"/>
                <w:szCs w:val="22"/>
              </w:rPr>
            </w:pPr>
            <w:r w:rsidRPr="00157E45">
              <w:rPr>
                <w:rFonts w:ascii="Arial" w:hAnsi="Arial" w:cs="Arial"/>
              </w:rPr>
              <w:t>1,5</w:t>
            </w:r>
            <w:r w:rsidR="006B07D6" w:rsidRPr="00157E45">
              <w:rPr>
                <w:rFonts w:ascii="Arial" w:hAnsi="Arial" w:cs="Arial"/>
              </w:rPr>
              <w:t>21</w:t>
            </w:r>
            <w:r w:rsidRPr="00157E45">
              <w:rPr>
                <w:rFonts w:ascii="Arial" w:hAnsi="Arial" w:cs="Arial"/>
              </w:rPr>
              <w:t>,</w:t>
            </w:r>
            <w:r w:rsidR="006B07D6" w:rsidRPr="00157E45">
              <w:rPr>
                <w:rFonts w:ascii="Arial" w:hAnsi="Arial" w:cs="Arial"/>
              </w:rPr>
              <w:t>7</w:t>
            </w:r>
            <w:r w:rsidRPr="00157E45">
              <w:rPr>
                <w:rFonts w:ascii="Arial" w:hAnsi="Arial" w:cs="Arial"/>
              </w:rPr>
              <w:t>0</w:t>
            </w:r>
            <w:r w:rsidR="00DE4F4E" w:rsidRPr="00157E45">
              <w:rPr>
                <w:rFonts w:ascii="Arial" w:hAnsi="Arial" w:cs="Arial"/>
              </w:rPr>
              <w:t>0</w:t>
            </w:r>
          </w:p>
        </w:tc>
        <w:tc>
          <w:tcPr>
            <w:tcW w:w="1945" w:type="dxa"/>
          </w:tcPr>
          <w:p w14:paraId="799768C9" w14:textId="3EA567E0" w:rsidR="00B824C8" w:rsidRPr="00157E45" w:rsidRDefault="00B824C8" w:rsidP="00B824C8">
            <w:pPr>
              <w:spacing w:after="120"/>
              <w:rPr>
                <w:rFonts w:ascii="Arial" w:hAnsi="Arial" w:cs="Arial"/>
              </w:rPr>
            </w:pPr>
            <w:r w:rsidRPr="00157E45">
              <w:rPr>
                <w:rFonts w:ascii="Arial" w:hAnsi="Arial" w:cs="Arial"/>
              </w:rPr>
              <w:t>1,</w:t>
            </w:r>
            <w:r w:rsidR="00923684" w:rsidRPr="00157E45">
              <w:rPr>
                <w:rFonts w:ascii="Arial" w:hAnsi="Arial" w:cs="Arial"/>
              </w:rPr>
              <w:t>423</w:t>
            </w:r>
            <w:r w:rsidRPr="00157E45">
              <w:rPr>
                <w:rFonts w:ascii="Arial" w:hAnsi="Arial" w:cs="Arial"/>
              </w:rPr>
              <w:t>,</w:t>
            </w:r>
            <w:r w:rsidR="00923684" w:rsidRPr="00157E45">
              <w:rPr>
                <w:rFonts w:ascii="Arial" w:hAnsi="Arial" w:cs="Arial"/>
              </w:rPr>
              <w:t>8</w:t>
            </w:r>
            <w:r w:rsidRPr="00157E45">
              <w:rPr>
                <w:rFonts w:ascii="Arial" w:hAnsi="Arial" w:cs="Arial"/>
              </w:rPr>
              <w:t>0</w:t>
            </w:r>
            <w:r w:rsidR="00DE4F4E" w:rsidRPr="00157E45">
              <w:rPr>
                <w:rFonts w:ascii="Arial" w:hAnsi="Arial" w:cs="Arial"/>
              </w:rPr>
              <w:t>0</w:t>
            </w:r>
          </w:p>
        </w:tc>
        <w:tc>
          <w:tcPr>
            <w:tcW w:w="1945" w:type="dxa"/>
          </w:tcPr>
          <w:p w14:paraId="0F14DFB9" w14:textId="31C0F81D" w:rsidR="00B824C8" w:rsidRPr="00157E45" w:rsidRDefault="00B824C8" w:rsidP="00B824C8">
            <w:pPr>
              <w:spacing w:after="120"/>
              <w:rPr>
                <w:rFonts w:ascii="Arial" w:hAnsi="Arial" w:cs="Arial"/>
                <w:color w:val="000000" w:themeColor="text1"/>
                <w:sz w:val="22"/>
                <w:szCs w:val="22"/>
              </w:rPr>
            </w:pPr>
            <w:r w:rsidRPr="00157E45">
              <w:rPr>
                <w:rFonts w:ascii="Arial" w:hAnsi="Arial" w:cs="Arial"/>
              </w:rPr>
              <w:t>1</w:t>
            </w:r>
            <w:r w:rsidR="00B23128" w:rsidRPr="00157E45">
              <w:rPr>
                <w:rFonts w:ascii="Arial" w:hAnsi="Arial" w:cs="Arial"/>
              </w:rPr>
              <w:t>88</w:t>
            </w:r>
            <w:r w:rsidRPr="00157E45">
              <w:rPr>
                <w:rFonts w:ascii="Arial" w:hAnsi="Arial" w:cs="Arial"/>
              </w:rPr>
              <w:t>,</w:t>
            </w:r>
            <w:r w:rsidR="00B23128" w:rsidRPr="00157E45">
              <w:rPr>
                <w:rFonts w:ascii="Arial" w:hAnsi="Arial" w:cs="Arial"/>
              </w:rPr>
              <w:t>3</w:t>
            </w:r>
            <w:r w:rsidRPr="00157E45">
              <w:rPr>
                <w:rFonts w:ascii="Arial" w:hAnsi="Arial" w:cs="Arial"/>
              </w:rPr>
              <w:t>0</w:t>
            </w:r>
            <w:r w:rsidR="00DE4F4E" w:rsidRPr="00157E45">
              <w:rPr>
                <w:rFonts w:ascii="Arial" w:hAnsi="Arial" w:cs="Arial"/>
              </w:rPr>
              <w:t>0</w:t>
            </w:r>
          </w:p>
        </w:tc>
      </w:tr>
    </w:tbl>
    <w:p w14:paraId="171C5758" w14:textId="1AFDC56C" w:rsidR="00570A24" w:rsidRDefault="00570A24" w:rsidP="00F46E8C">
      <w:pPr>
        <w:rPr>
          <w:rFonts w:ascii="Arial" w:hAnsi="Arial" w:cs="Arial"/>
          <w:sz w:val="4"/>
          <w:szCs w:val="4"/>
        </w:rPr>
      </w:pPr>
    </w:p>
    <w:p w14:paraId="148B7FDA" w14:textId="77777777" w:rsidR="00570A24" w:rsidRDefault="00570A24">
      <w:pPr>
        <w:spacing w:after="160" w:line="259" w:lineRule="auto"/>
        <w:rPr>
          <w:rFonts w:ascii="Arial" w:hAnsi="Arial" w:cs="Arial"/>
          <w:sz w:val="4"/>
          <w:szCs w:val="4"/>
        </w:rPr>
      </w:pPr>
      <w:r>
        <w:rPr>
          <w:rFonts w:ascii="Arial" w:hAnsi="Arial" w:cs="Arial"/>
          <w:sz w:val="4"/>
          <w:szCs w:val="4"/>
        </w:rPr>
        <w:br w:type="page"/>
      </w:r>
    </w:p>
    <w:p w14:paraId="64DC5620" w14:textId="48E07380" w:rsidR="00B27F81" w:rsidRPr="00157E45" w:rsidRDefault="00E2292A" w:rsidP="00143596">
      <w:pPr>
        <w:pStyle w:val="Heading1"/>
        <w:rPr>
          <w:rFonts w:ascii="Arial" w:hAnsi="Arial" w:cs="Arial"/>
        </w:rPr>
      </w:pPr>
      <w:bookmarkStart w:id="48" w:name="_Toc184116530"/>
      <w:r w:rsidRPr="00157E45">
        <w:rPr>
          <w:rFonts w:ascii="Arial" w:hAnsi="Arial" w:cs="Arial"/>
        </w:rPr>
        <w:lastRenderedPageBreak/>
        <w:t xml:space="preserve">9.0 </w:t>
      </w:r>
      <w:r w:rsidR="00143596" w:rsidRPr="00157E45">
        <w:rPr>
          <w:rFonts w:ascii="Arial" w:hAnsi="Arial" w:cs="Arial"/>
        </w:rPr>
        <w:t>International visitor growth by market</w:t>
      </w:r>
      <w:bookmarkEnd w:id="48"/>
    </w:p>
    <w:p w14:paraId="0BC23994" w14:textId="77777777" w:rsidR="00E83C49" w:rsidRPr="00157E45" w:rsidRDefault="00E83C49" w:rsidP="00E83C49">
      <w:pPr>
        <w:rPr>
          <w:sz w:val="4"/>
          <w:szCs w:val="4"/>
        </w:rPr>
      </w:pPr>
    </w:p>
    <w:p w14:paraId="4CE60AA2" w14:textId="249FFE80" w:rsidR="00B27F81" w:rsidRPr="00157E45" w:rsidRDefault="003E31E1" w:rsidP="00143596">
      <w:pPr>
        <w:pStyle w:val="ListParagraph"/>
        <w:numPr>
          <w:ilvl w:val="0"/>
          <w:numId w:val="5"/>
        </w:numPr>
        <w:rPr>
          <w:rFonts w:ascii="Arial" w:hAnsi="Arial" w:cs="Arial"/>
          <w:color w:val="000000" w:themeColor="text1"/>
          <w:sz w:val="22"/>
          <w:szCs w:val="22"/>
        </w:rPr>
      </w:pPr>
      <w:r w:rsidRPr="00157E45">
        <w:rPr>
          <w:rFonts w:ascii="Arial" w:hAnsi="Arial" w:cs="Arial"/>
          <w:color w:val="000000" w:themeColor="text1"/>
          <w:sz w:val="22"/>
          <w:szCs w:val="22"/>
        </w:rPr>
        <w:t>China forecasts have been downgraded and its recovery has been slower than expected due to its late reopening and stifled return of ADS (Approved Destination Status) group travel to Melbourne. However, China is expected to return to become Victoria's top source market with an estimated 797,600 visitors in 2029. Notably, approximately 31% of international visitor growth over the next 5 years is expected to come from China</w:t>
      </w:r>
      <w:r w:rsidR="00B27F81" w:rsidRPr="00157E45">
        <w:rPr>
          <w:rFonts w:ascii="Arial" w:hAnsi="Arial" w:cs="Arial"/>
          <w:color w:val="000000" w:themeColor="text1"/>
          <w:sz w:val="22"/>
          <w:szCs w:val="22"/>
        </w:rPr>
        <w:t>.</w:t>
      </w:r>
    </w:p>
    <w:p w14:paraId="7849D052" w14:textId="1FAD1DF4" w:rsidR="00A0645D" w:rsidRPr="00157E45" w:rsidRDefault="00291CA9" w:rsidP="00143596">
      <w:pPr>
        <w:pStyle w:val="ListParagraph"/>
        <w:numPr>
          <w:ilvl w:val="0"/>
          <w:numId w:val="5"/>
        </w:numPr>
        <w:rPr>
          <w:rFonts w:ascii="Arial" w:hAnsi="Arial" w:cs="Arial"/>
          <w:color w:val="000000" w:themeColor="text1"/>
          <w:sz w:val="22"/>
          <w:szCs w:val="22"/>
        </w:rPr>
      </w:pPr>
      <w:r w:rsidRPr="00157E45">
        <w:rPr>
          <w:rFonts w:ascii="Arial" w:hAnsi="Arial" w:cs="Arial"/>
          <w:color w:val="000000" w:themeColor="text1"/>
          <w:sz w:val="22"/>
          <w:szCs w:val="22"/>
        </w:rPr>
        <w:t>The next top visitor markets for Victoria in 2029 are expected to be New Zealand, USA, India and the United Kingdom</w:t>
      </w:r>
      <w:r w:rsidR="00B27F81" w:rsidRPr="00157E45">
        <w:rPr>
          <w:rFonts w:ascii="Arial" w:hAnsi="Arial" w:cs="Arial"/>
          <w:color w:val="000000" w:themeColor="text1"/>
          <w:sz w:val="22"/>
          <w:szCs w:val="22"/>
        </w:rPr>
        <w:t>.</w:t>
      </w:r>
    </w:p>
    <w:p w14:paraId="17CEA98F" w14:textId="58DCC95B" w:rsidR="006E6A98" w:rsidRPr="00157E45" w:rsidRDefault="004957AA" w:rsidP="00143596">
      <w:pPr>
        <w:pStyle w:val="ListParagraph"/>
        <w:numPr>
          <w:ilvl w:val="0"/>
          <w:numId w:val="5"/>
        </w:numPr>
        <w:rPr>
          <w:rFonts w:ascii="Arial" w:hAnsi="Arial" w:cs="Arial"/>
          <w:color w:val="000000" w:themeColor="text1"/>
          <w:sz w:val="22"/>
          <w:szCs w:val="22"/>
        </w:rPr>
      </w:pPr>
      <w:r w:rsidRPr="00157E45">
        <w:rPr>
          <w:rFonts w:ascii="Arial" w:hAnsi="Arial" w:cs="Arial"/>
          <w:color w:val="000000" w:themeColor="text1"/>
          <w:sz w:val="22"/>
          <w:szCs w:val="22"/>
        </w:rPr>
        <w:t>High forecast growth rates for the next 5 years are projected for Asian markets with close ties to Australia such as Malaysia, Hong Kong, Japan, Taiwan, Indonesia and Vietnam</w:t>
      </w:r>
      <w:r w:rsidR="00B27F81" w:rsidRPr="00157E45">
        <w:rPr>
          <w:rFonts w:ascii="Arial" w:hAnsi="Arial" w:cs="Arial"/>
          <w:color w:val="000000" w:themeColor="text1"/>
          <w:sz w:val="22"/>
          <w:szCs w:val="22"/>
        </w:rPr>
        <w:t>.</w:t>
      </w:r>
    </w:p>
    <w:p w14:paraId="171D97DA" w14:textId="6E9E478A" w:rsidR="003B293F" w:rsidRPr="00157E45" w:rsidRDefault="00E2292A" w:rsidP="0085353B">
      <w:pPr>
        <w:pStyle w:val="Heading2"/>
        <w:spacing w:before="80" w:line="240" w:lineRule="auto"/>
        <w:rPr>
          <w:rFonts w:ascii="Arial" w:hAnsi="Arial" w:cs="Arial"/>
          <w:color w:val="002060"/>
        </w:rPr>
      </w:pPr>
      <w:bookmarkStart w:id="49" w:name="_Toc184116531"/>
      <w:r w:rsidRPr="00157E45">
        <w:rPr>
          <w:rFonts w:ascii="Arial" w:hAnsi="Arial" w:cs="Arial"/>
          <w:color w:val="002060"/>
        </w:rPr>
        <w:t xml:space="preserve">9.1 </w:t>
      </w:r>
      <w:r w:rsidR="0027579D" w:rsidRPr="00157E45">
        <w:rPr>
          <w:rFonts w:ascii="Arial" w:hAnsi="Arial" w:cs="Arial"/>
          <w:color w:val="002060"/>
        </w:rPr>
        <w:t xml:space="preserve">Data table: </w:t>
      </w:r>
      <w:r w:rsidR="00665CED" w:rsidRPr="00157E45">
        <w:rPr>
          <w:rFonts w:ascii="Arial" w:hAnsi="Arial" w:cs="Arial"/>
          <w:color w:val="002060"/>
        </w:rPr>
        <w:t xml:space="preserve">Forecast </w:t>
      </w:r>
      <w:r w:rsidR="0035138B" w:rsidRPr="00157E45">
        <w:rPr>
          <w:rFonts w:ascii="Arial" w:hAnsi="Arial" w:cs="Arial"/>
          <w:color w:val="002060"/>
        </w:rPr>
        <w:t>t</w:t>
      </w:r>
      <w:r w:rsidR="007F16BB" w:rsidRPr="00157E45">
        <w:rPr>
          <w:rFonts w:ascii="Arial" w:hAnsi="Arial" w:cs="Arial"/>
          <w:color w:val="002060"/>
        </w:rPr>
        <w:t xml:space="preserve">op 15 international markets to Victoria in </w:t>
      </w:r>
      <w:r w:rsidR="00AF22E8" w:rsidRPr="00157E45">
        <w:rPr>
          <w:rFonts w:ascii="Arial" w:hAnsi="Arial" w:cs="Arial"/>
          <w:color w:val="002060"/>
        </w:rPr>
        <w:t>2029</w:t>
      </w:r>
      <w:r w:rsidR="00E82423" w:rsidRPr="00157E45">
        <w:rPr>
          <w:rFonts w:ascii="Arial" w:hAnsi="Arial" w:cs="Arial"/>
          <w:color w:val="002060"/>
        </w:rPr>
        <w:t xml:space="preserve"> with</w:t>
      </w:r>
      <w:r w:rsidR="007F16BB" w:rsidRPr="00157E45">
        <w:rPr>
          <w:rFonts w:ascii="Arial" w:hAnsi="Arial" w:cs="Arial"/>
          <w:color w:val="002060"/>
        </w:rPr>
        <w:t xml:space="preserve"> e</w:t>
      </w:r>
      <w:r w:rsidR="002438EB" w:rsidRPr="00157E45">
        <w:rPr>
          <w:rFonts w:ascii="Arial" w:hAnsi="Arial" w:cs="Arial"/>
          <w:color w:val="002060"/>
        </w:rPr>
        <w:t>stimated</w:t>
      </w:r>
      <w:r w:rsidR="00AC630C" w:rsidRPr="00157E45">
        <w:rPr>
          <w:rFonts w:ascii="Arial" w:hAnsi="Arial" w:cs="Arial"/>
          <w:color w:val="002060"/>
        </w:rPr>
        <w:t xml:space="preserve"> </w:t>
      </w:r>
      <w:r w:rsidR="00AF22E8" w:rsidRPr="00157E45">
        <w:rPr>
          <w:rFonts w:ascii="Arial" w:hAnsi="Arial" w:cs="Arial"/>
          <w:color w:val="002060"/>
        </w:rPr>
        <w:t>2024</w:t>
      </w:r>
      <w:r w:rsidR="00AC630C" w:rsidRPr="00157E45">
        <w:rPr>
          <w:rFonts w:ascii="Arial" w:hAnsi="Arial" w:cs="Arial"/>
          <w:color w:val="002060"/>
        </w:rPr>
        <w:t xml:space="preserve"> and </w:t>
      </w:r>
      <w:r w:rsidR="00AF22E8" w:rsidRPr="00157E45">
        <w:rPr>
          <w:rFonts w:ascii="Arial" w:hAnsi="Arial" w:cs="Arial"/>
          <w:color w:val="002060"/>
        </w:rPr>
        <w:t>2029</w:t>
      </w:r>
      <w:r w:rsidR="002438EB" w:rsidRPr="00157E45">
        <w:rPr>
          <w:rFonts w:ascii="Arial" w:hAnsi="Arial" w:cs="Arial"/>
          <w:color w:val="002060"/>
        </w:rPr>
        <w:t xml:space="preserve"> visitor</w:t>
      </w:r>
      <w:r w:rsidR="007F16BB" w:rsidRPr="00157E45">
        <w:rPr>
          <w:rFonts w:ascii="Arial" w:hAnsi="Arial" w:cs="Arial"/>
          <w:color w:val="002060"/>
        </w:rPr>
        <w:t xml:space="preserve"> numbers to Victoria</w:t>
      </w:r>
      <w:r w:rsidR="001F6A72" w:rsidRPr="00157E45">
        <w:rPr>
          <w:rFonts w:ascii="Arial" w:hAnsi="Arial" w:cs="Arial"/>
          <w:color w:val="002060"/>
        </w:rPr>
        <w:t>.</w:t>
      </w:r>
      <w:bookmarkEnd w:id="49"/>
    </w:p>
    <w:p w14:paraId="2F47E4C2" w14:textId="5CA80D94" w:rsidR="0061510A" w:rsidRPr="00157E45" w:rsidRDefault="00A347F8" w:rsidP="0085353B">
      <w:pPr>
        <w:spacing w:before="120" w:after="120" w:line="240" w:lineRule="auto"/>
        <w:rPr>
          <w:rFonts w:ascii="Arial" w:hAnsi="Arial" w:cs="Arial"/>
        </w:rPr>
      </w:pPr>
      <w:r w:rsidRPr="00157E45">
        <w:rPr>
          <w:rFonts w:ascii="Arial" w:hAnsi="Arial" w:cs="Arial"/>
        </w:rPr>
        <w:t>T</w:t>
      </w:r>
      <w:r w:rsidR="00F65A66" w:rsidRPr="00157E45">
        <w:rPr>
          <w:rFonts w:ascii="Arial" w:hAnsi="Arial" w:cs="Arial"/>
        </w:rPr>
        <w:t xml:space="preserve">he table below provides estimated visitor numbers for </w:t>
      </w:r>
      <w:r w:rsidR="00AF22E8" w:rsidRPr="00157E45">
        <w:rPr>
          <w:rFonts w:ascii="Arial" w:hAnsi="Arial" w:cs="Arial"/>
        </w:rPr>
        <w:t>2024</w:t>
      </w:r>
      <w:r w:rsidR="00F65A66" w:rsidRPr="00157E45">
        <w:rPr>
          <w:rFonts w:ascii="Arial" w:hAnsi="Arial" w:cs="Arial"/>
        </w:rPr>
        <w:t xml:space="preserve"> and </w:t>
      </w:r>
      <w:r w:rsidR="003459F5" w:rsidRPr="00157E45">
        <w:rPr>
          <w:rFonts w:ascii="Arial" w:hAnsi="Arial" w:cs="Arial"/>
        </w:rPr>
        <w:t xml:space="preserve">for </w:t>
      </w:r>
      <w:r w:rsidR="00AF22E8" w:rsidRPr="00157E45">
        <w:rPr>
          <w:rFonts w:ascii="Arial" w:hAnsi="Arial" w:cs="Arial"/>
        </w:rPr>
        <w:t>2029</w:t>
      </w:r>
      <w:r w:rsidRPr="00157E45">
        <w:rPr>
          <w:rFonts w:ascii="Arial" w:hAnsi="Arial" w:cs="Arial"/>
        </w:rPr>
        <w:t xml:space="preserve"> for forecast top 15 markets</w:t>
      </w:r>
      <w:r w:rsidR="003459F5" w:rsidRPr="00157E45">
        <w:rPr>
          <w:rFonts w:ascii="Arial" w:hAnsi="Arial" w:cs="Arial"/>
        </w:rPr>
        <w:t>.</w:t>
      </w:r>
    </w:p>
    <w:tbl>
      <w:tblPr>
        <w:tblStyle w:val="TableGrid"/>
        <w:tblW w:w="0" w:type="auto"/>
        <w:tblLook w:val="04A0" w:firstRow="1" w:lastRow="0" w:firstColumn="1" w:lastColumn="0" w:noHBand="0" w:noVBand="1"/>
      </w:tblPr>
      <w:tblGrid>
        <w:gridCol w:w="2689"/>
        <w:gridCol w:w="2693"/>
        <w:gridCol w:w="2693"/>
      </w:tblGrid>
      <w:tr w:rsidR="003E6453" w:rsidRPr="00157E45" w14:paraId="5D974A95" w14:textId="77777777" w:rsidTr="004D5947">
        <w:trPr>
          <w:tblHeader/>
        </w:trPr>
        <w:tc>
          <w:tcPr>
            <w:tcW w:w="2689" w:type="dxa"/>
            <w:shd w:val="clear" w:color="auto" w:fill="D9D9D9" w:themeFill="background1" w:themeFillShade="D9"/>
          </w:tcPr>
          <w:p w14:paraId="7916EB89" w14:textId="08040AE7" w:rsidR="003E6453" w:rsidRPr="00157E45" w:rsidRDefault="003E6453" w:rsidP="0098420E">
            <w:pPr>
              <w:spacing w:after="120"/>
              <w:rPr>
                <w:rFonts w:ascii="Arial" w:hAnsi="Arial" w:cs="Arial"/>
                <w:b/>
                <w:bCs/>
              </w:rPr>
            </w:pPr>
            <w:bookmarkStart w:id="50" w:name="Title_1214" w:colFirst="0" w:colLast="0"/>
            <w:r w:rsidRPr="00157E45">
              <w:rPr>
                <w:rFonts w:ascii="Arial" w:hAnsi="Arial" w:cs="Arial"/>
                <w:b/>
                <w:bCs/>
              </w:rPr>
              <w:t>Market</w:t>
            </w:r>
          </w:p>
        </w:tc>
        <w:tc>
          <w:tcPr>
            <w:tcW w:w="2693" w:type="dxa"/>
            <w:shd w:val="clear" w:color="auto" w:fill="D9D9D9" w:themeFill="background1" w:themeFillShade="D9"/>
          </w:tcPr>
          <w:p w14:paraId="7F56F0B5" w14:textId="3713D43A" w:rsidR="003E6453" w:rsidRPr="00157E45" w:rsidRDefault="003E6453" w:rsidP="0098420E">
            <w:pPr>
              <w:spacing w:after="120"/>
              <w:rPr>
                <w:rFonts w:ascii="Arial" w:hAnsi="Arial" w:cs="Arial"/>
                <w:b/>
                <w:bCs/>
              </w:rPr>
            </w:pPr>
            <w:r w:rsidRPr="00157E45">
              <w:rPr>
                <w:rFonts w:ascii="Arial" w:hAnsi="Arial" w:cs="Arial"/>
                <w:b/>
                <w:bCs/>
              </w:rPr>
              <w:t xml:space="preserve">Estimated </w:t>
            </w:r>
            <w:r w:rsidR="00AF22E8" w:rsidRPr="00157E45">
              <w:rPr>
                <w:rFonts w:ascii="Arial" w:hAnsi="Arial" w:cs="Arial"/>
                <w:b/>
                <w:bCs/>
              </w:rPr>
              <w:t>2024</w:t>
            </w:r>
            <w:r w:rsidRPr="00157E45">
              <w:rPr>
                <w:rFonts w:ascii="Arial" w:hAnsi="Arial" w:cs="Arial"/>
                <w:b/>
                <w:bCs/>
              </w:rPr>
              <w:t xml:space="preserve"> visitors</w:t>
            </w:r>
          </w:p>
        </w:tc>
        <w:tc>
          <w:tcPr>
            <w:tcW w:w="2693" w:type="dxa"/>
            <w:shd w:val="clear" w:color="auto" w:fill="D9D9D9" w:themeFill="background1" w:themeFillShade="D9"/>
          </w:tcPr>
          <w:p w14:paraId="455D5F64" w14:textId="2F758058" w:rsidR="003E6453" w:rsidRPr="00157E45" w:rsidRDefault="003E6453" w:rsidP="0098420E">
            <w:pPr>
              <w:spacing w:after="120"/>
              <w:rPr>
                <w:rFonts w:ascii="Arial" w:hAnsi="Arial" w:cs="Arial"/>
                <w:b/>
                <w:bCs/>
              </w:rPr>
            </w:pPr>
            <w:r w:rsidRPr="00157E45">
              <w:rPr>
                <w:rFonts w:ascii="Arial" w:hAnsi="Arial" w:cs="Arial"/>
                <w:b/>
                <w:bCs/>
              </w:rPr>
              <w:t xml:space="preserve">Estimated </w:t>
            </w:r>
            <w:r w:rsidR="00AF22E8" w:rsidRPr="00157E45">
              <w:rPr>
                <w:rFonts w:ascii="Arial" w:hAnsi="Arial" w:cs="Arial"/>
                <w:b/>
                <w:bCs/>
              </w:rPr>
              <w:t>2029</w:t>
            </w:r>
            <w:r w:rsidRPr="00157E45">
              <w:rPr>
                <w:rFonts w:ascii="Arial" w:hAnsi="Arial" w:cs="Arial"/>
                <w:b/>
                <w:bCs/>
              </w:rPr>
              <w:t xml:space="preserve"> visitors</w:t>
            </w:r>
          </w:p>
        </w:tc>
      </w:tr>
      <w:bookmarkEnd w:id="50"/>
      <w:tr w:rsidR="003A272C" w:rsidRPr="00157E45" w14:paraId="6F763DD1" w14:textId="77777777" w:rsidTr="004D5947">
        <w:tc>
          <w:tcPr>
            <w:tcW w:w="2689" w:type="dxa"/>
          </w:tcPr>
          <w:p w14:paraId="1015270D" w14:textId="47E8AE32" w:rsidR="003A272C" w:rsidRPr="00157E45" w:rsidRDefault="003A272C" w:rsidP="003A272C">
            <w:pPr>
              <w:spacing w:after="120"/>
              <w:rPr>
                <w:rFonts w:ascii="Arial" w:hAnsi="Arial" w:cs="Arial"/>
              </w:rPr>
            </w:pPr>
            <w:r w:rsidRPr="00157E45">
              <w:rPr>
                <w:rFonts w:ascii="Arial" w:hAnsi="Arial" w:cs="Arial"/>
              </w:rPr>
              <w:t>China</w:t>
            </w:r>
          </w:p>
        </w:tc>
        <w:tc>
          <w:tcPr>
            <w:tcW w:w="2693" w:type="dxa"/>
          </w:tcPr>
          <w:p w14:paraId="1687C6F0" w14:textId="2FA73287" w:rsidR="003A272C" w:rsidRPr="00157E45" w:rsidRDefault="003A272C" w:rsidP="003A272C">
            <w:pPr>
              <w:spacing w:after="120"/>
              <w:rPr>
                <w:rFonts w:ascii="Arial" w:hAnsi="Arial" w:cs="Arial"/>
              </w:rPr>
            </w:pPr>
            <w:r w:rsidRPr="00157E45">
              <w:rPr>
                <w:rFonts w:ascii="Arial" w:hAnsi="Arial" w:cs="Arial"/>
              </w:rPr>
              <w:t>421,500</w:t>
            </w:r>
          </w:p>
        </w:tc>
        <w:tc>
          <w:tcPr>
            <w:tcW w:w="2693" w:type="dxa"/>
          </w:tcPr>
          <w:p w14:paraId="71E794EA" w14:textId="580E04D0" w:rsidR="003A272C" w:rsidRPr="00157E45" w:rsidRDefault="003A272C" w:rsidP="003A272C">
            <w:pPr>
              <w:spacing w:after="120"/>
              <w:rPr>
                <w:rFonts w:ascii="Arial" w:hAnsi="Arial" w:cs="Arial"/>
              </w:rPr>
            </w:pPr>
            <w:r w:rsidRPr="00157E45">
              <w:rPr>
                <w:rFonts w:ascii="Arial" w:hAnsi="Arial" w:cs="Arial"/>
              </w:rPr>
              <w:t>797,600</w:t>
            </w:r>
          </w:p>
        </w:tc>
      </w:tr>
      <w:tr w:rsidR="003A272C" w:rsidRPr="00157E45" w14:paraId="1695039B" w14:textId="77777777" w:rsidTr="004D5947">
        <w:tc>
          <w:tcPr>
            <w:tcW w:w="2689" w:type="dxa"/>
          </w:tcPr>
          <w:p w14:paraId="262E5CC9" w14:textId="3ED656A3" w:rsidR="003A272C" w:rsidRPr="00157E45" w:rsidRDefault="003A272C" w:rsidP="003A272C">
            <w:pPr>
              <w:spacing w:after="120"/>
              <w:rPr>
                <w:rFonts w:ascii="Arial" w:hAnsi="Arial" w:cs="Arial"/>
              </w:rPr>
            </w:pPr>
            <w:r w:rsidRPr="00157E45">
              <w:rPr>
                <w:rFonts w:ascii="Arial" w:hAnsi="Arial" w:cs="Arial"/>
              </w:rPr>
              <w:t>New Zealand</w:t>
            </w:r>
          </w:p>
        </w:tc>
        <w:tc>
          <w:tcPr>
            <w:tcW w:w="2693" w:type="dxa"/>
          </w:tcPr>
          <w:p w14:paraId="5BAA4730" w14:textId="3C4A44CD" w:rsidR="003A272C" w:rsidRPr="00157E45" w:rsidRDefault="003A272C" w:rsidP="003A272C">
            <w:pPr>
              <w:spacing w:after="120"/>
              <w:rPr>
                <w:rFonts w:ascii="Arial" w:hAnsi="Arial" w:cs="Arial"/>
              </w:rPr>
            </w:pPr>
            <w:r w:rsidRPr="00157E45">
              <w:rPr>
                <w:rFonts w:ascii="Arial" w:hAnsi="Arial" w:cs="Arial"/>
              </w:rPr>
              <w:t>362,200</w:t>
            </w:r>
          </w:p>
        </w:tc>
        <w:tc>
          <w:tcPr>
            <w:tcW w:w="2693" w:type="dxa"/>
          </w:tcPr>
          <w:p w14:paraId="2E79D0CF" w14:textId="2CDB8E88" w:rsidR="003A272C" w:rsidRPr="00157E45" w:rsidRDefault="003A272C" w:rsidP="003A272C">
            <w:pPr>
              <w:spacing w:after="120"/>
              <w:rPr>
                <w:rFonts w:ascii="Arial" w:hAnsi="Arial" w:cs="Arial"/>
              </w:rPr>
            </w:pPr>
            <w:r w:rsidRPr="00157E45">
              <w:rPr>
                <w:rFonts w:ascii="Arial" w:hAnsi="Arial" w:cs="Arial"/>
              </w:rPr>
              <w:t>433,900</w:t>
            </w:r>
          </w:p>
        </w:tc>
      </w:tr>
      <w:tr w:rsidR="003A272C" w:rsidRPr="00157E45" w14:paraId="3AA32EA0" w14:textId="77777777" w:rsidTr="004D5947">
        <w:tc>
          <w:tcPr>
            <w:tcW w:w="2689" w:type="dxa"/>
          </w:tcPr>
          <w:p w14:paraId="6DB8042F" w14:textId="138EA78D" w:rsidR="003A272C" w:rsidRPr="00157E45" w:rsidRDefault="003A272C" w:rsidP="003A272C">
            <w:pPr>
              <w:spacing w:after="120"/>
              <w:rPr>
                <w:rFonts w:ascii="Arial" w:hAnsi="Arial" w:cs="Arial"/>
              </w:rPr>
            </w:pPr>
            <w:r w:rsidRPr="00157E45">
              <w:rPr>
                <w:rFonts w:ascii="Arial" w:hAnsi="Arial" w:cs="Arial"/>
              </w:rPr>
              <w:t>United States of America</w:t>
            </w:r>
          </w:p>
        </w:tc>
        <w:tc>
          <w:tcPr>
            <w:tcW w:w="2693" w:type="dxa"/>
          </w:tcPr>
          <w:p w14:paraId="478565BA" w14:textId="083E4B8F" w:rsidR="003A272C" w:rsidRPr="00157E45" w:rsidRDefault="003A272C" w:rsidP="003A272C">
            <w:pPr>
              <w:spacing w:after="120"/>
              <w:rPr>
                <w:rFonts w:ascii="Arial" w:hAnsi="Arial" w:cs="Arial"/>
              </w:rPr>
            </w:pPr>
            <w:r w:rsidRPr="00157E45">
              <w:rPr>
                <w:rFonts w:ascii="Arial" w:hAnsi="Arial" w:cs="Arial"/>
              </w:rPr>
              <w:t>211,500</w:t>
            </w:r>
          </w:p>
        </w:tc>
        <w:tc>
          <w:tcPr>
            <w:tcW w:w="2693" w:type="dxa"/>
          </w:tcPr>
          <w:p w14:paraId="639C64B7" w14:textId="27318EEA" w:rsidR="003A272C" w:rsidRPr="00157E45" w:rsidRDefault="003A272C" w:rsidP="003A272C">
            <w:pPr>
              <w:spacing w:after="120"/>
              <w:rPr>
                <w:rFonts w:ascii="Arial" w:hAnsi="Arial" w:cs="Arial"/>
              </w:rPr>
            </w:pPr>
            <w:r w:rsidRPr="00157E45">
              <w:rPr>
                <w:rFonts w:ascii="Arial" w:hAnsi="Arial" w:cs="Arial"/>
              </w:rPr>
              <w:t>295,200</w:t>
            </w:r>
          </w:p>
        </w:tc>
      </w:tr>
      <w:tr w:rsidR="003A272C" w:rsidRPr="00157E45" w14:paraId="7BF8271C" w14:textId="77777777" w:rsidTr="004D5947">
        <w:tc>
          <w:tcPr>
            <w:tcW w:w="2689" w:type="dxa"/>
          </w:tcPr>
          <w:p w14:paraId="2140883F" w14:textId="4AF0F3A7" w:rsidR="003A272C" w:rsidRPr="00157E45" w:rsidRDefault="003A272C" w:rsidP="003A272C">
            <w:pPr>
              <w:spacing w:after="120"/>
              <w:rPr>
                <w:rFonts w:ascii="Arial" w:hAnsi="Arial" w:cs="Arial"/>
              </w:rPr>
            </w:pPr>
            <w:r w:rsidRPr="00157E45">
              <w:rPr>
                <w:rFonts w:ascii="Arial" w:hAnsi="Arial" w:cs="Arial"/>
              </w:rPr>
              <w:t>India</w:t>
            </w:r>
          </w:p>
        </w:tc>
        <w:tc>
          <w:tcPr>
            <w:tcW w:w="2693" w:type="dxa"/>
          </w:tcPr>
          <w:p w14:paraId="43B79461" w14:textId="58E573AE" w:rsidR="003A272C" w:rsidRPr="00157E45" w:rsidRDefault="003A272C" w:rsidP="003A272C">
            <w:pPr>
              <w:spacing w:after="120"/>
              <w:rPr>
                <w:rFonts w:ascii="Arial" w:hAnsi="Arial" w:cs="Arial"/>
              </w:rPr>
            </w:pPr>
            <w:r w:rsidRPr="00157E45">
              <w:rPr>
                <w:rFonts w:ascii="Arial" w:hAnsi="Arial" w:cs="Arial"/>
              </w:rPr>
              <w:t>197,400</w:t>
            </w:r>
          </w:p>
        </w:tc>
        <w:tc>
          <w:tcPr>
            <w:tcW w:w="2693" w:type="dxa"/>
          </w:tcPr>
          <w:p w14:paraId="74C42F9E" w14:textId="33446BDE" w:rsidR="003A272C" w:rsidRPr="00157E45" w:rsidRDefault="003A272C" w:rsidP="003A272C">
            <w:pPr>
              <w:spacing w:after="120"/>
              <w:rPr>
                <w:rFonts w:ascii="Arial" w:hAnsi="Arial" w:cs="Arial"/>
              </w:rPr>
            </w:pPr>
            <w:r w:rsidRPr="00157E45">
              <w:rPr>
                <w:rFonts w:ascii="Arial" w:hAnsi="Arial" w:cs="Arial"/>
              </w:rPr>
              <w:t>279,400</w:t>
            </w:r>
          </w:p>
        </w:tc>
      </w:tr>
      <w:tr w:rsidR="003A272C" w:rsidRPr="00157E45" w14:paraId="15F09994" w14:textId="77777777" w:rsidTr="004D5947">
        <w:tc>
          <w:tcPr>
            <w:tcW w:w="2689" w:type="dxa"/>
          </w:tcPr>
          <w:p w14:paraId="7A01561A" w14:textId="2E5D6483" w:rsidR="003A272C" w:rsidRPr="00157E45" w:rsidRDefault="003A272C" w:rsidP="003A272C">
            <w:pPr>
              <w:spacing w:after="120"/>
              <w:rPr>
                <w:rFonts w:ascii="Arial" w:hAnsi="Arial" w:cs="Arial"/>
              </w:rPr>
            </w:pPr>
            <w:r w:rsidRPr="00157E45">
              <w:rPr>
                <w:rFonts w:ascii="Arial" w:hAnsi="Arial" w:cs="Arial"/>
              </w:rPr>
              <w:t>United Kingdom</w:t>
            </w:r>
          </w:p>
        </w:tc>
        <w:tc>
          <w:tcPr>
            <w:tcW w:w="2693" w:type="dxa"/>
          </w:tcPr>
          <w:p w14:paraId="20512A3E" w14:textId="7593C608" w:rsidR="003A272C" w:rsidRPr="00157E45" w:rsidRDefault="003A272C" w:rsidP="003A272C">
            <w:pPr>
              <w:spacing w:after="120"/>
              <w:rPr>
                <w:rFonts w:ascii="Arial" w:hAnsi="Arial" w:cs="Arial"/>
              </w:rPr>
            </w:pPr>
            <w:r w:rsidRPr="00157E45">
              <w:rPr>
                <w:rFonts w:ascii="Arial" w:hAnsi="Arial" w:cs="Arial"/>
              </w:rPr>
              <w:t>196,500</w:t>
            </w:r>
          </w:p>
        </w:tc>
        <w:tc>
          <w:tcPr>
            <w:tcW w:w="2693" w:type="dxa"/>
          </w:tcPr>
          <w:p w14:paraId="64CE5DAB" w14:textId="62EAFAB7" w:rsidR="003A272C" w:rsidRPr="00157E45" w:rsidRDefault="003A272C" w:rsidP="003A272C">
            <w:pPr>
              <w:spacing w:after="120"/>
              <w:rPr>
                <w:rFonts w:ascii="Arial" w:hAnsi="Arial" w:cs="Arial"/>
              </w:rPr>
            </w:pPr>
            <w:r w:rsidRPr="00157E45">
              <w:rPr>
                <w:rFonts w:ascii="Arial" w:hAnsi="Arial" w:cs="Arial"/>
              </w:rPr>
              <w:t>241,100</w:t>
            </w:r>
          </w:p>
        </w:tc>
      </w:tr>
      <w:tr w:rsidR="003A272C" w:rsidRPr="00157E45" w14:paraId="60DAEAF4" w14:textId="77777777" w:rsidTr="004D5947">
        <w:tc>
          <w:tcPr>
            <w:tcW w:w="2689" w:type="dxa"/>
          </w:tcPr>
          <w:p w14:paraId="4A408BE5" w14:textId="2DCEEAA3" w:rsidR="003A272C" w:rsidRPr="00157E45" w:rsidRDefault="003A272C" w:rsidP="003A272C">
            <w:pPr>
              <w:spacing w:after="120"/>
              <w:rPr>
                <w:rFonts w:ascii="Arial" w:hAnsi="Arial" w:cs="Arial"/>
              </w:rPr>
            </w:pPr>
            <w:r w:rsidRPr="00157E45">
              <w:rPr>
                <w:rFonts w:ascii="Arial" w:hAnsi="Arial" w:cs="Arial"/>
              </w:rPr>
              <w:t>Singapore</w:t>
            </w:r>
          </w:p>
        </w:tc>
        <w:tc>
          <w:tcPr>
            <w:tcW w:w="2693" w:type="dxa"/>
          </w:tcPr>
          <w:p w14:paraId="2943B4D2" w14:textId="2B70C9FE" w:rsidR="003A272C" w:rsidRPr="00157E45" w:rsidRDefault="003A272C" w:rsidP="003A272C">
            <w:pPr>
              <w:spacing w:after="120"/>
              <w:rPr>
                <w:rFonts w:ascii="Arial" w:hAnsi="Arial" w:cs="Arial"/>
              </w:rPr>
            </w:pPr>
            <w:r w:rsidRPr="00157E45">
              <w:rPr>
                <w:rFonts w:ascii="Arial" w:hAnsi="Arial" w:cs="Arial"/>
              </w:rPr>
              <w:t>139,000</w:t>
            </w:r>
          </w:p>
        </w:tc>
        <w:tc>
          <w:tcPr>
            <w:tcW w:w="2693" w:type="dxa"/>
          </w:tcPr>
          <w:p w14:paraId="257CB3F5" w14:textId="6BA11ADD" w:rsidR="003A272C" w:rsidRPr="00157E45" w:rsidRDefault="003A272C" w:rsidP="003A272C">
            <w:pPr>
              <w:spacing w:after="120"/>
              <w:rPr>
                <w:rFonts w:ascii="Arial" w:hAnsi="Arial" w:cs="Arial"/>
              </w:rPr>
            </w:pPr>
            <w:r w:rsidRPr="00157E45">
              <w:rPr>
                <w:rFonts w:ascii="Arial" w:hAnsi="Arial" w:cs="Arial"/>
              </w:rPr>
              <w:t>174,100</w:t>
            </w:r>
          </w:p>
        </w:tc>
      </w:tr>
      <w:tr w:rsidR="003A272C" w:rsidRPr="00157E45" w14:paraId="4218B658" w14:textId="77777777" w:rsidTr="004D5947">
        <w:tc>
          <w:tcPr>
            <w:tcW w:w="2689" w:type="dxa"/>
          </w:tcPr>
          <w:p w14:paraId="49747C5D" w14:textId="5F2E3506" w:rsidR="003A272C" w:rsidRPr="00157E45" w:rsidRDefault="003A272C" w:rsidP="003A272C">
            <w:pPr>
              <w:spacing w:after="120"/>
              <w:rPr>
                <w:rFonts w:ascii="Arial" w:hAnsi="Arial" w:cs="Arial"/>
              </w:rPr>
            </w:pPr>
            <w:r w:rsidRPr="00157E45">
              <w:rPr>
                <w:rFonts w:ascii="Arial" w:hAnsi="Arial" w:cs="Arial"/>
              </w:rPr>
              <w:t>Hong Kong</w:t>
            </w:r>
          </w:p>
        </w:tc>
        <w:tc>
          <w:tcPr>
            <w:tcW w:w="2693" w:type="dxa"/>
          </w:tcPr>
          <w:p w14:paraId="14D3E0F1" w14:textId="2101D843" w:rsidR="003A272C" w:rsidRPr="00157E45" w:rsidRDefault="003A272C" w:rsidP="003A272C">
            <w:pPr>
              <w:spacing w:after="120"/>
              <w:rPr>
                <w:rFonts w:ascii="Arial" w:hAnsi="Arial" w:cs="Arial"/>
              </w:rPr>
            </w:pPr>
            <w:r w:rsidRPr="00157E45">
              <w:rPr>
                <w:rFonts w:ascii="Arial" w:hAnsi="Arial" w:cs="Arial"/>
              </w:rPr>
              <w:t>94,800</w:t>
            </w:r>
          </w:p>
        </w:tc>
        <w:tc>
          <w:tcPr>
            <w:tcW w:w="2693" w:type="dxa"/>
          </w:tcPr>
          <w:p w14:paraId="1F693945" w14:textId="1E908F11" w:rsidR="003A272C" w:rsidRPr="00157E45" w:rsidRDefault="003A272C" w:rsidP="003A272C">
            <w:pPr>
              <w:spacing w:after="120"/>
              <w:rPr>
                <w:rFonts w:ascii="Arial" w:hAnsi="Arial" w:cs="Arial"/>
              </w:rPr>
            </w:pPr>
            <w:r w:rsidRPr="00157E45">
              <w:rPr>
                <w:rFonts w:ascii="Arial" w:hAnsi="Arial" w:cs="Arial"/>
              </w:rPr>
              <w:t>148,300</w:t>
            </w:r>
          </w:p>
        </w:tc>
      </w:tr>
      <w:tr w:rsidR="003A272C" w:rsidRPr="00157E45" w14:paraId="46EEA985" w14:textId="77777777" w:rsidTr="004D5947">
        <w:tc>
          <w:tcPr>
            <w:tcW w:w="2689" w:type="dxa"/>
          </w:tcPr>
          <w:p w14:paraId="49181F0A" w14:textId="51A31C7E" w:rsidR="003A272C" w:rsidRPr="00157E45" w:rsidRDefault="003A272C" w:rsidP="003A272C">
            <w:pPr>
              <w:spacing w:after="120"/>
              <w:rPr>
                <w:rFonts w:ascii="Arial" w:hAnsi="Arial" w:cs="Arial"/>
              </w:rPr>
            </w:pPr>
            <w:r w:rsidRPr="00157E45">
              <w:rPr>
                <w:rFonts w:ascii="Arial" w:hAnsi="Arial" w:cs="Arial"/>
              </w:rPr>
              <w:t>Malaysia</w:t>
            </w:r>
          </w:p>
        </w:tc>
        <w:tc>
          <w:tcPr>
            <w:tcW w:w="2693" w:type="dxa"/>
          </w:tcPr>
          <w:p w14:paraId="3D6BB101" w14:textId="5ED244A6" w:rsidR="003A272C" w:rsidRPr="00157E45" w:rsidRDefault="003A272C" w:rsidP="003A272C">
            <w:pPr>
              <w:spacing w:after="120"/>
              <w:rPr>
                <w:rFonts w:ascii="Arial" w:hAnsi="Arial" w:cs="Arial"/>
              </w:rPr>
            </w:pPr>
            <w:r w:rsidRPr="00157E45">
              <w:rPr>
                <w:rFonts w:ascii="Arial" w:hAnsi="Arial" w:cs="Arial"/>
              </w:rPr>
              <w:t>76,800</w:t>
            </w:r>
          </w:p>
        </w:tc>
        <w:tc>
          <w:tcPr>
            <w:tcW w:w="2693" w:type="dxa"/>
          </w:tcPr>
          <w:p w14:paraId="67723C31" w14:textId="2ACD3F8A" w:rsidR="003A272C" w:rsidRPr="00157E45" w:rsidRDefault="003A272C" w:rsidP="003A272C">
            <w:pPr>
              <w:spacing w:after="120"/>
              <w:rPr>
                <w:rFonts w:ascii="Arial" w:hAnsi="Arial" w:cs="Arial"/>
              </w:rPr>
            </w:pPr>
            <w:r w:rsidRPr="00157E45">
              <w:rPr>
                <w:rFonts w:ascii="Arial" w:hAnsi="Arial" w:cs="Arial"/>
              </w:rPr>
              <w:t>145,100</w:t>
            </w:r>
          </w:p>
        </w:tc>
      </w:tr>
      <w:tr w:rsidR="003A272C" w:rsidRPr="00157E45" w14:paraId="7B3D3920" w14:textId="77777777" w:rsidTr="004D5947">
        <w:tc>
          <w:tcPr>
            <w:tcW w:w="2689" w:type="dxa"/>
          </w:tcPr>
          <w:p w14:paraId="4CEA3F96" w14:textId="7988FA7E" w:rsidR="003A272C" w:rsidRPr="00157E45" w:rsidRDefault="003A272C" w:rsidP="003A272C">
            <w:pPr>
              <w:spacing w:after="120"/>
              <w:rPr>
                <w:rFonts w:ascii="Arial" w:hAnsi="Arial" w:cs="Arial"/>
              </w:rPr>
            </w:pPr>
            <w:r w:rsidRPr="00157E45">
              <w:rPr>
                <w:rFonts w:ascii="Arial" w:hAnsi="Arial" w:cs="Arial"/>
              </w:rPr>
              <w:t>Japan</w:t>
            </w:r>
          </w:p>
        </w:tc>
        <w:tc>
          <w:tcPr>
            <w:tcW w:w="2693" w:type="dxa"/>
          </w:tcPr>
          <w:p w14:paraId="51964963" w14:textId="43A08AFE" w:rsidR="003A272C" w:rsidRPr="00157E45" w:rsidRDefault="003A272C" w:rsidP="003A272C">
            <w:pPr>
              <w:spacing w:after="120"/>
              <w:rPr>
                <w:rFonts w:ascii="Arial" w:hAnsi="Arial" w:cs="Arial"/>
              </w:rPr>
            </w:pPr>
            <w:r w:rsidRPr="00157E45">
              <w:rPr>
                <w:rFonts w:ascii="Arial" w:hAnsi="Arial" w:cs="Arial"/>
              </w:rPr>
              <w:t>81,700</w:t>
            </w:r>
          </w:p>
        </w:tc>
        <w:tc>
          <w:tcPr>
            <w:tcW w:w="2693" w:type="dxa"/>
          </w:tcPr>
          <w:p w14:paraId="0D8A4A63" w14:textId="1F0B6C19" w:rsidR="003A272C" w:rsidRPr="00157E45" w:rsidRDefault="003A272C" w:rsidP="003A272C">
            <w:pPr>
              <w:spacing w:after="120"/>
              <w:rPr>
                <w:rFonts w:ascii="Arial" w:hAnsi="Arial" w:cs="Arial"/>
              </w:rPr>
            </w:pPr>
            <w:r w:rsidRPr="00157E45">
              <w:rPr>
                <w:rFonts w:ascii="Arial" w:hAnsi="Arial" w:cs="Arial"/>
              </w:rPr>
              <w:t>124,500</w:t>
            </w:r>
          </w:p>
        </w:tc>
      </w:tr>
      <w:tr w:rsidR="003A272C" w:rsidRPr="00157E45" w14:paraId="617B080C" w14:textId="77777777" w:rsidTr="004D5947">
        <w:tc>
          <w:tcPr>
            <w:tcW w:w="2689" w:type="dxa"/>
          </w:tcPr>
          <w:p w14:paraId="76C56E04" w14:textId="68CC0191" w:rsidR="003A272C" w:rsidRPr="00157E45" w:rsidRDefault="003A272C" w:rsidP="003A272C">
            <w:pPr>
              <w:spacing w:after="120"/>
              <w:rPr>
                <w:rFonts w:ascii="Arial" w:hAnsi="Arial" w:cs="Arial"/>
              </w:rPr>
            </w:pPr>
            <w:r w:rsidRPr="00157E45">
              <w:rPr>
                <w:rFonts w:ascii="Arial" w:hAnsi="Arial" w:cs="Arial"/>
              </w:rPr>
              <w:t>Vietnam</w:t>
            </w:r>
          </w:p>
        </w:tc>
        <w:tc>
          <w:tcPr>
            <w:tcW w:w="2693" w:type="dxa"/>
          </w:tcPr>
          <w:p w14:paraId="0F1A9727" w14:textId="01010154" w:rsidR="003A272C" w:rsidRPr="00157E45" w:rsidRDefault="003A272C" w:rsidP="003A272C">
            <w:pPr>
              <w:spacing w:after="120"/>
              <w:rPr>
                <w:rFonts w:ascii="Arial" w:hAnsi="Arial" w:cs="Arial"/>
              </w:rPr>
            </w:pPr>
            <w:r w:rsidRPr="00157E45">
              <w:rPr>
                <w:rFonts w:ascii="Arial" w:hAnsi="Arial" w:cs="Arial"/>
              </w:rPr>
              <w:t>80,000</w:t>
            </w:r>
          </w:p>
        </w:tc>
        <w:tc>
          <w:tcPr>
            <w:tcW w:w="2693" w:type="dxa"/>
          </w:tcPr>
          <w:p w14:paraId="0A2564D9" w14:textId="143EC231" w:rsidR="003A272C" w:rsidRPr="00157E45" w:rsidRDefault="003A272C" w:rsidP="003A272C">
            <w:pPr>
              <w:spacing w:after="120"/>
              <w:rPr>
                <w:rFonts w:ascii="Arial" w:hAnsi="Arial" w:cs="Arial"/>
              </w:rPr>
            </w:pPr>
            <w:r w:rsidRPr="00157E45">
              <w:rPr>
                <w:rFonts w:ascii="Arial" w:hAnsi="Arial" w:cs="Arial"/>
              </w:rPr>
              <w:t>116,500</w:t>
            </w:r>
          </w:p>
        </w:tc>
      </w:tr>
      <w:tr w:rsidR="003A272C" w:rsidRPr="00157E45" w14:paraId="6FBC0D86" w14:textId="77777777" w:rsidTr="004D5947">
        <w:tc>
          <w:tcPr>
            <w:tcW w:w="2689" w:type="dxa"/>
          </w:tcPr>
          <w:p w14:paraId="47F09FF5" w14:textId="52B0ECCA" w:rsidR="003A272C" w:rsidRPr="00157E45" w:rsidRDefault="003A272C" w:rsidP="003A272C">
            <w:pPr>
              <w:spacing w:after="120"/>
              <w:rPr>
                <w:rFonts w:ascii="Arial" w:hAnsi="Arial" w:cs="Arial"/>
              </w:rPr>
            </w:pPr>
            <w:r w:rsidRPr="00157E45">
              <w:rPr>
                <w:rFonts w:ascii="Arial" w:hAnsi="Arial" w:cs="Arial"/>
              </w:rPr>
              <w:t>Indonesia</w:t>
            </w:r>
          </w:p>
        </w:tc>
        <w:tc>
          <w:tcPr>
            <w:tcW w:w="2693" w:type="dxa"/>
          </w:tcPr>
          <w:p w14:paraId="75354D8C" w14:textId="1E9C98D5" w:rsidR="003A272C" w:rsidRPr="00157E45" w:rsidRDefault="003A272C" w:rsidP="003A272C">
            <w:pPr>
              <w:spacing w:after="120"/>
              <w:rPr>
                <w:rFonts w:ascii="Arial" w:hAnsi="Arial" w:cs="Arial"/>
              </w:rPr>
            </w:pPr>
            <w:r w:rsidRPr="00157E45">
              <w:rPr>
                <w:rFonts w:ascii="Arial" w:hAnsi="Arial" w:cs="Arial"/>
              </w:rPr>
              <w:t>78,800</w:t>
            </w:r>
          </w:p>
        </w:tc>
        <w:tc>
          <w:tcPr>
            <w:tcW w:w="2693" w:type="dxa"/>
          </w:tcPr>
          <w:p w14:paraId="18ECE202" w14:textId="46AC93BD" w:rsidR="003A272C" w:rsidRPr="00157E45" w:rsidRDefault="003A272C" w:rsidP="003A272C">
            <w:pPr>
              <w:spacing w:after="120"/>
              <w:rPr>
                <w:rFonts w:ascii="Arial" w:hAnsi="Arial" w:cs="Arial"/>
              </w:rPr>
            </w:pPr>
            <w:r w:rsidRPr="00157E45">
              <w:rPr>
                <w:rFonts w:ascii="Arial" w:hAnsi="Arial" w:cs="Arial"/>
              </w:rPr>
              <w:t>114,200</w:t>
            </w:r>
          </w:p>
        </w:tc>
      </w:tr>
      <w:tr w:rsidR="003A272C" w:rsidRPr="00157E45" w14:paraId="6C6528C2" w14:textId="77777777" w:rsidTr="004D5947">
        <w:tc>
          <w:tcPr>
            <w:tcW w:w="2689" w:type="dxa"/>
          </w:tcPr>
          <w:p w14:paraId="1C5FD2D4" w14:textId="43E8F9DF" w:rsidR="003A272C" w:rsidRPr="00157E45" w:rsidRDefault="003A272C" w:rsidP="003A272C">
            <w:pPr>
              <w:spacing w:after="120"/>
              <w:rPr>
                <w:rFonts w:ascii="Arial" w:hAnsi="Arial" w:cs="Arial"/>
              </w:rPr>
            </w:pPr>
            <w:r w:rsidRPr="00157E45">
              <w:rPr>
                <w:rFonts w:ascii="Arial" w:hAnsi="Arial" w:cs="Arial"/>
              </w:rPr>
              <w:t>Taiwan</w:t>
            </w:r>
          </w:p>
        </w:tc>
        <w:tc>
          <w:tcPr>
            <w:tcW w:w="2693" w:type="dxa"/>
          </w:tcPr>
          <w:p w14:paraId="2327E051" w14:textId="789FE863" w:rsidR="003A272C" w:rsidRPr="00157E45" w:rsidRDefault="003A272C" w:rsidP="003A272C">
            <w:pPr>
              <w:spacing w:after="120"/>
              <w:rPr>
                <w:rFonts w:ascii="Arial" w:hAnsi="Arial" w:cs="Arial"/>
              </w:rPr>
            </w:pPr>
            <w:r w:rsidRPr="00157E45">
              <w:rPr>
                <w:rFonts w:ascii="Arial" w:hAnsi="Arial" w:cs="Arial"/>
              </w:rPr>
              <w:t>65,900</w:t>
            </w:r>
          </w:p>
        </w:tc>
        <w:tc>
          <w:tcPr>
            <w:tcW w:w="2693" w:type="dxa"/>
          </w:tcPr>
          <w:p w14:paraId="4BD539F9" w14:textId="65AC8D81" w:rsidR="003A272C" w:rsidRPr="00157E45" w:rsidRDefault="003A272C" w:rsidP="003A272C">
            <w:pPr>
              <w:spacing w:after="120"/>
              <w:rPr>
                <w:rFonts w:ascii="Arial" w:hAnsi="Arial" w:cs="Arial"/>
              </w:rPr>
            </w:pPr>
            <w:r w:rsidRPr="00157E45">
              <w:rPr>
                <w:rFonts w:ascii="Arial" w:hAnsi="Arial" w:cs="Arial"/>
              </w:rPr>
              <w:t>98,500</w:t>
            </w:r>
          </w:p>
        </w:tc>
      </w:tr>
      <w:tr w:rsidR="003A272C" w:rsidRPr="00157E45" w14:paraId="47F4634C" w14:textId="77777777" w:rsidTr="004D5947">
        <w:tc>
          <w:tcPr>
            <w:tcW w:w="2689" w:type="dxa"/>
          </w:tcPr>
          <w:p w14:paraId="7FD99E6C" w14:textId="4A5AD569" w:rsidR="003A272C" w:rsidRPr="00157E45" w:rsidRDefault="003A272C" w:rsidP="003A272C">
            <w:pPr>
              <w:spacing w:after="120"/>
              <w:rPr>
                <w:rFonts w:ascii="Arial" w:hAnsi="Arial" w:cs="Arial"/>
              </w:rPr>
            </w:pPr>
            <w:r w:rsidRPr="00157E45">
              <w:rPr>
                <w:rFonts w:ascii="Arial" w:hAnsi="Arial" w:cs="Arial"/>
              </w:rPr>
              <w:t>South Korea</w:t>
            </w:r>
          </w:p>
        </w:tc>
        <w:tc>
          <w:tcPr>
            <w:tcW w:w="2693" w:type="dxa"/>
          </w:tcPr>
          <w:p w14:paraId="5A9F907D" w14:textId="29A30E79" w:rsidR="003A272C" w:rsidRPr="00157E45" w:rsidRDefault="003A272C" w:rsidP="003A272C">
            <w:pPr>
              <w:spacing w:after="120"/>
              <w:rPr>
                <w:rFonts w:ascii="Arial" w:hAnsi="Arial" w:cs="Arial"/>
              </w:rPr>
            </w:pPr>
            <w:r w:rsidRPr="00157E45">
              <w:rPr>
                <w:rFonts w:ascii="Arial" w:hAnsi="Arial" w:cs="Arial"/>
              </w:rPr>
              <w:t>79,000</w:t>
            </w:r>
          </w:p>
        </w:tc>
        <w:tc>
          <w:tcPr>
            <w:tcW w:w="2693" w:type="dxa"/>
          </w:tcPr>
          <w:p w14:paraId="367703F8" w14:textId="27BD7185" w:rsidR="003A272C" w:rsidRPr="00157E45" w:rsidRDefault="003A272C" w:rsidP="003A272C">
            <w:pPr>
              <w:spacing w:after="120"/>
              <w:rPr>
                <w:rFonts w:ascii="Arial" w:hAnsi="Arial" w:cs="Arial"/>
              </w:rPr>
            </w:pPr>
            <w:r w:rsidRPr="00157E45">
              <w:rPr>
                <w:rFonts w:ascii="Arial" w:hAnsi="Arial" w:cs="Arial"/>
              </w:rPr>
              <w:t>97,100</w:t>
            </w:r>
          </w:p>
        </w:tc>
      </w:tr>
      <w:tr w:rsidR="003A272C" w:rsidRPr="00157E45" w14:paraId="198AAE22" w14:textId="77777777" w:rsidTr="004D5947">
        <w:tc>
          <w:tcPr>
            <w:tcW w:w="2689" w:type="dxa"/>
          </w:tcPr>
          <w:p w14:paraId="059228FD" w14:textId="30EC4ADB" w:rsidR="003A272C" w:rsidRPr="00157E45" w:rsidRDefault="003A272C" w:rsidP="003A272C">
            <w:pPr>
              <w:spacing w:after="120"/>
              <w:rPr>
                <w:rFonts w:ascii="Arial" w:hAnsi="Arial" w:cs="Arial"/>
              </w:rPr>
            </w:pPr>
            <w:r w:rsidRPr="00157E45">
              <w:rPr>
                <w:rFonts w:ascii="Arial" w:hAnsi="Arial" w:cs="Arial"/>
              </w:rPr>
              <w:t>Germany</w:t>
            </w:r>
          </w:p>
        </w:tc>
        <w:tc>
          <w:tcPr>
            <w:tcW w:w="2693" w:type="dxa"/>
          </w:tcPr>
          <w:p w14:paraId="533B253C" w14:textId="6F6EF46C" w:rsidR="003A272C" w:rsidRPr="00157E45" w:rsidRDefault="003A272C" w:rsidP="003A272C">
            <w:pPr>
              <w:spacing w:after="120"/>
              <w:rPr>
                <w:rFonts w:ascii="Arial" w:hAnsi="Arial" w:cs="Arial"/>
              </w:rPr>
            </w:pPr>
            <w:r w:rsidRPr="00157E45">
              <w:rPr>
                <w:rFonts w:ascii="Arial" w:hAnsi="Arial" w:cs="Arial"/>
              </w:rPr>
              <w:t>67,000</w:t>
            </w:r>
          </w:p>
        </w:tc>
        <w:tc>
          <w:tcPr>
            <w:tcW w:w="2693" w:type="dxa"/>
          </w:tcPr>
          <w:p w14:paraId="1F1058E6" w14:textId="29B8C51F" w:rsidR="003A272C" w:rsidRPr="00157E45" w:rsidRDefault="003A272C" w:rsidP="003A272C">
            <w:pPr>
              <w:spacing w:after="120"/>
              <w:rPr>
                <w:rFonts w:ascii="Arial" w:hAnsi="Arial" w:cs="Arial"/>
              </w:rPr>
            </w:pPr>
            <w:r w:rsidRPr="00157E45">
              <w:rPr>
                <w:rFonts w:ascii="Arial" w:hAnsi="Arial" w:cs="Arial"/>
              </w:rPr>
              <w:t>87,500</w:t>
            </w:r>
          </w:p>
        </w:tc>
      </w:tr>
      <w:tr w:rsidR="003A272C" w:rsidRPr="00157E45" w14:paraId="797A0416" w14:textId="77777777" w:rsidTr="004D5947">
        <w:tc>
          <w:tcPr>
            <w:tcW w:w="2689" w:type="dxa"/>
          </w:tcPr>
          <w:p w14:paraId="7846FAC8" w14:textId="6CA10C3D" w:rsidR="003A272C" w:rsidRPr="00157E45" w:rsidRDefault="003A272C" w:rsidP="003A272C">
            <w:pPr>
              <w:spacing w:after="120"/>
              <w:rPr>
                <w:rFonts w:ascii="Arial" w:hAnsi="Arial" w:cs="Arial"/>
              </w:rPr>
            </w:pPr>
            <w:r w:rsidRPr="00157E45">
              <w:rPr>
                <w:rFonts w:ascii="Arial" w:hAnsi="Arial" w:cs="Arial"/>
              </w:rPr>
              <w:t>Canada</w:t>
            </w:r>
          </w:p>
        </w:tc>
        <w:tc>
          <w:tcPr>
            <w:tcW w:w="2693" w:type="dxa"/>
          </w:tcPr>
          <w:p w14:paraId="560FBFD8" w14:textId="0EA3C37B" w:rsidR="003A272C" w:rsidRPr="00157E45" w:rsidRDefault="003A272C" w:rsidP="003A272C">
            <w:pPr>
              <w:spacing w:after="120"/>
              <w:rPr>
                <w:rFonts w:ascii="Arial" w:hAnsi="Arial" w:cs="Arial"/>
              </w:rPr>
            </w:pPr>
            <w:r w:rsidRPr="00157E45">
              <w:rPr>
                <w:rFonts w:ascii="Arial" w:hAnsi="Arial" w:cs="Arial"/>
              </w:rPr>
              <w:t>49,500</w:t>
            </w:r>
          </w:p>
        </w:tc>
        <w:tc>
          <w:tcPr>
            <w:tcW w:w="2693" w:type="dxa"/>
          </w:tcPr>
          <w:p w14:paraId="353F9E9B" w14:textId="306F0CE1" w:rsidR="003A272C" w:rsidRPr="00157E45" w:rsidRDefault="003A272C" w:rsidP="003A272C">
            <w:pPr>
              <w:spacing w:after="120"/>
              <w:rPr>
                <w:rFonts w:ascii="Arial" w:hAnsi="Arial" w:cs="Arial"/>
              </w:rPr>
            </w:pPr>
            <w:r w:rsidRPr="00157E45">
              <w:rPr>
                <w:rFonts w:ascii="Arial" w:hAnsi="Arial" w:cs="Arial"/>
              </w:rPr>
              <w:t>65,400</w:t>
            </w:r>
          </w:p>
        </w:tc>
      </w:tr>
    </w:tbl>
    <w:p w14:paraId="389F581D" w14:textId="77777777" w:rsidR="004E3976" w:rsidRPr="00157E45" w:rsidRDefault="004E3976" w:rsidP="004E3976">
      <w:pPr>
        <w:rPr>
          <w:rFonts w:ascii="Arial" w:hAnsi="Arial" w:cs="Arial"/>
        </w:rPr>
      </w:pPr>
    </w:p>
    <w:p w14:paraId="2A0A7770" w14:textId="7B7765E7" w:rsidR="00325B91" w:rsidRPr="00157E45" w:rsidRDefault="008F2ABF" w:rsidP="0085353B">
      <w:pPr>
        <w:pStyle w:val="Heading2"/>
        <w:spacing w:before="80" w:line="240" w:lineRule="auto"/>
        <w:rPr>
          <w:rFonts w:ascii="Arial" w:hAnsi="Arial" w:cs="Arial"/>
          <w:color w:val="002060"/>
        </w:rPr>
      </w:pPr>
      <w:bookmarkStart w:id="51" w:name="_Toc184116532"/>
      <w:r w:rsidRPr="00157E45">
        <w:rPr>
          <w:rFonts w:ascii="Arial" w:hAnsi="Arial" w:cs="Arial"/>
          <w:color w:val="002060"/>
        </w:rPr>
        <w:t xml:space="preserve">9.2 </w:t>
      </w:r>
      <w:r w:rsidR="00E55153" w:rsidRPr="00157E45">
        <w:rPr>
          <w:rFonts w:ascii="Arial" w:hAnsi="Arial" w:cs="Arial"/>
          <w:color w:val="002060"/>
        </w:rPr>
        <w:t xml:space="preserve">Data table: Forecast growth rates for </w:t>
      </w:r>
      <w:r w:rsidR="00265CE1" w:rsidRPr="00157E45">
        <w:rPr>
          <w:rFonts w:ascii="Arial" w:hAnsi="Arial" w:cs="Arial"/>
          <w:color w:val="002060"/>
        </w:rPr>
        <w:t xml:space="preserve">Victoria’s </w:t>
      </w:r>
      <w:r w:rsidR="002F1170" w:rsidRPr="00157E45">
        <w:rPr>
          <w:rFonts w:ascii="Arial" w:hAnsi="Arial" w:cs="Arial"/>
          <w:color w:val="002060"/>
        </w:rPr>
        <w:t xml:space="preserve">projected </w:t>
      </w:r>
      <w:r w:rsidR="00265CE1" w:rsidRPr="00157E45">
        <w:rPr>
          <w:rFonts w:ascii="Arial" w:hAnsi="Arial" w:cs="Arial"/>
          <w:color w:val="002060"/>
        </w:rPr>
        <w:t>top 15 international visitor markets</w:t>
      </w:r>
      <w:bookmarkEnd w:id="51"/>
    </w:p>
    <w:p w14:paraId="735F0CEB" w14:textId="5CCF77DC" w:rsidR="00C563D5" w:rsidRPr="00157E45" w:rsidRDefault="002F1170" w:rsidP="0085353B">
      <w:pPr>
        <w:spacing w:before="120" w:after="120" w:line="240" w:lineRule="auto"/>
        <w:rPr>
          <w:rFonts w:ascii="Arial" w:hAnsi="Arial" w:cs="Arial"/>
        </w:rPr>
      </w:pPr>
      <w:r w:rsidRPr="00157E45">
        <w:rPr>
          <w:rFonts w:ascii="Arial" w:hAnsi="Arial" w:cs="Arial"/>
        </w:rPr>
        <w:t>T</w:t>
      </w:r>
      <w:r w:rsidR="00C563D5" w:rsidRPr="00157E45">
        <w:rPr>
          <w:rFonts w:ascii="Arial" w:hAnsi="Arial" w:cs="Arial"/>
        </w:rPr>
        <w:t xml:space="preserve">he table below provides </w:t>
      </w:r>
      <w:r w:rsidR="0043007E" w:rsidRPr="00157E45">
        <w:rPr>
          <w:rFonts w:ascii="Arial" w:hAnsi="Arial" w:cs="Arial"/>
        </w:rPr>
        <w:t xml:space="preserve">the </w:t>
      </w:r>
      <w:r w:rsidR="00C563D5" w:rsidRPr="00157E45">
        <w:rPr>
          <w:rFonts w:ascii="Arial" w:hAnsi="Arial" w:cs="Arial"/>
        </w:rPr>
        <w:t xml:space="preserve">estimated visitor growth rate for </w:t>
      </w:r>
      <w:r w:rsidR="00AF22E8" w:rsidRPr="00157E45">
        <w:rPr>
          <w:rFonts w:ascii="Arial" w:hAnsi="Arial" w:cs="Arial"/>
        </w:rPr>
        <w:t>2024</w:t>
      </w:r>
      <w:r w:rsidR="00C563D5" w:rsidRPr="00157E45">
        <w:rPr>
          <w:rFonts w:ascii="Arial" w:hAnsi="Arial" w:cs="Arial"/>
        </w:rPr>
        <w:t xml:space="preserve"> to </w:t>
      </w:r>
      <w:r w:rsidR="00AF22E8" w:rsidRPr="00157E45">
        <w:rPr>
          <w:rFonts w:ascii="Arial" w:hAnsi="Arial" w:cs="Arial"/>
        </w:rPr>
        <w:t>2029</w:t>
      </w:r>
      <w:r w:rsidR="00C563D5" w:rsidRPr="00157E45">
        <w:rPr>
          <w:rFonts w:ascii="Arial" w:hAnsi="Arial" w:cs="Arial"/>
        </w:rPr>
        <w:t xml:space="preserve"> </w:t>
      </w:r>
      <w:r w:rsidR="004F3D48" w:rsidRPr="00157E45">
        <w:rPr>
          <w:rFonts w:ascii="Arial" w:hAnsi="Arial" w:cs="Arial"/>
        </w:rPr>
        <w:t xml:space="preserve">and the forecast average annual </w:t>
      </w:r>
      <w:r w:rsidR="006E12B1" w:rsidRPr="00157E45">
        <w:rPr>
          <w:rFonts w:ascii="Arial" w:hAnsi="Arial" w:cs="Arial"/>
        </w:rPr>
        <w:t xml:space="preserve">visitor </w:t>
      </w:r>
      <w:r w:rsidR="004F3D48" w:rsidRPr="00157E45">
        <w:rPr>
          <w:rFonts w:ascii="Arial" w:hAnsi="Arial" w:cs="Arial"/>
        </w:rPr>
        <w:t xml:space="preserve">growth rate from </w:t>
      </w:r>
      <w:r w:rsidR="00AF22E8" w:rsidRPr="00157E45">
        <w:rPr>
          <w:rFonts w:ascii="Arial" w:hAnsi="Arial" w:cs="Arial"/>
        </w:rPr>
        <w:t>2024</w:t>
      </w:r>
      <w:r w:rsidR="004F3D48" w:rsidRPr="00157E45">
        <w:rPr>
          <w:rFonts w:ascii="Arial" w:hAnsi="Arial" w:cs="Arial"/>
        </w:rPr>
        <w:t xml:space="preserve"> to </w:t>
      </w:r>
      <w:r w:rsidR="00AF22E8" w:rsidRPr="00157E45">
        <w:rPr>
          <w:rFonts w:ascii="Arial" w:hAnsi="Arial" w:cs="Arial"/>
        </w:rPr>
        <w:t>2029</w:t>
      </w:r>
      <w:r w:rsidR="00EE7040" w:rsidRPr="00157E45">
        <w:rPr>
          <w:rFonts w:ascii="Arial" w:hAnsi="Arial" w:cs="Arial"/>
        </w:rPr>
        <w:t xml:space="preserve"> for the forecast top 15 markets</w:t>
      </w:r>
      <w:r w:rsidR="004F3D48" w:rsidRPr="00157E45">
        <w:rPr>
          <w:rFonts w:ascii="Arial" w:hAnsi="Arial" w:cs="Arial"/>
        </w:rPr>
        <w:t>.</w:t>
      </w:r>
    </w:p>
    <w:tbl>
      <w:tblPr>
        <w:tblStyle w:val="TableGrid"/>
        <w:tblW w:w="9067" w:type="dxa"/>
        <w:tblLook w:val="04A0" w:firstRow="1" w:lastRow="0" w:firstColumn="1" w:lastColumn="0" w:noHBand="0" w:noVBand="1"/>
      </w:tblPr>
      <w:tblGrid>
        <w:gridCol w:w="2547"/>
        <w:gridCol w:w="2551"/>
        <w:gridCol w:w="3969"/>
      </w:tblGrid>
      <w:tr w:rsidR="003E6453" w:rsidRPr="00157E45" w14:paraId="68C5FA44" w14:textId="77777777" w:rsidTr="00F5401A">
        <w:trPr>
          <w:tblHeader/>
        </w:trPr>
        <w:tc>
          <w:tcPr>
            <w:tcW w:w="2547" w:type="dxa"/>
            <w:shd w:val="clear" w:color="auto" w:fill="D9D9D9" w:themeFill="background1" w:themeFillShade="D9"/>
          </w:tcPr>
          <w:p w14:paraId="5B625DC0" w14:textId="698C256A" w:rsidR="003E6453" w:rsidRPr="00157E45" w:rsidRDefault="003E6453" w:rsidP="003E6453">
            <w:pPr>
              <w:spacing w:after="120"/>
              <w:rPr>
                <w:rFonts w:ascii="Arial" w:hAnsi="Arial" w:cs="Arial"/>
                <w:b/>
                <w:bCs/>
              </w:rPr>
            </w:pPr>
            <w:bookmarkStart w:id="52" w:name="Title_13" w:colFirst="0" w:colLast="0"/>
            <w:r w:rsidRPr="00157E45">
              <w:rPr>
                <w:rFonts w:ascii="Arial" w:hAnsi="Arial" w:cs="Arial"/>
                <w:b/>
                <w:bCs/>
              </w:rPr>
              <w:lastRenderedPageBreak/>
              <w:t>Market</w:t>
            </w:r>
          </w:p>
        </w:tc>
        <w:tc>
          <w:tcPr>
            <w:tcW w:w="2551" w:type="dxa"/>
            <w:shd w:val="clear" w:color="auto" w:fill="D9D9D9" w:themeFill="background1" w:themeFillShade="D9"/>
          </w:tcPr>
          <w:p w14:paraId="2CD2DDAD" w14:textId="1A4F699E" w:rsidR="003E6453" w:rsidRPr="00157E45" w:rsidRDefault="003E6453" w:rsidP="003E6453">
            <w:pPr>
              <w:spacing w:after="120"/>
              <w:rPr>
                <w:rFonts w:ascii="Arial" w:hAnsi="Arial" w:cs="Arial"/>
                <w:b/>
                <w:bCs/>
              </w:rPr>
            </w:pPr>
            <w:r w:rsidRPr="00157E45">
              <w:rPr>
                <w:rFonts w:ascii="Arial" w:hAnsi="Arial" w:cs="Arial"/>
                <w:b/>
                <w:bCs/>
              </w:rPr>
              <w:t xml:space="preserve">% change </w:t>
            </w:r>
            <w:r w:rsidR="00AF22E8" w:rsidRPr="00157E45">
              <w:rPr>
                <w:rFonts w:ascii="Arial" w:hAnsi="Arial" w:cs="Arial"/>
                <w:b/>
                <w:bCs/>
              </w:rPr>
              <w:t>2024</w:t>
            </w:r>
            <w:r w:rsidRPr="00157E45">
              <w:rPr>
                <w:rFonts w:ascii="Arial" w:hAnsi="Arial" w:cs="Arial"/>
                <w:b/>
                <w:bCs/>
              </w:rPr>
              <w:t xml:space="preserve"> to </w:t>
            </w:r>
            <w:r w:rsidR="00AF22E8" w:rsidRPr="00157E45">
              <w:rPr>
                <w:rFonts w:ascii="Arial" w:hAnsi="Arial" w:cs="Arial"/>
                <w:b/>
                <w:bCs/>
              </w:rPr>
              <w:t>2029</w:t>
            </w:r>
          </w:p>
        </w:tc>
        <w:tc>
          <w:tcPr>
            <w:tcW w:w="3969" w:type="dxa"/>
            <w:shd w:val="clear" w:color="auto" w:fill="D9D9D9" w:themeFill="background1" w:themeFillShade="D9"/>
          </w:tcPr>
          <w:p w14:paraId="67B368BD" w14:textId="00C54E8C" w:rsidR="003E6453" w:rsidRPr="00157E45" w:rsidRDefault="003E6453" w:rsidP="003E6453">
            <w:pPr>
              <w:spacing w:after="120"/>
              <w:rPr>
                <w:rFonts w:ascii="Arial" w:hAnsi="Arial" w:cs="Arial"/>
                <w:b/>
                <w:bCs/>
              </w:rPr>
            </w:pPr>
            <w:r w:rsidRPr="00157E45">
              <w:rPr>
                <w:rFonts w:ascii="Arial" w:hAnsi="Arial" w:cs="Arial"/>
                <w:b/>
                <w:bCs/>
              </w:rPr>
              <w:t xml:space="preserve">Average annual growth </w:t>
            </w:r>
            <w:r w:rsidR="00AF22E8" w:rsidRPr="00157E45">
              <w:rPr>
                <w:rFonts w:ascii="Arial" w:hAnsi="Arial" w:cs="Arial"/>
                <w:b/>
                <w:bCs/>
              </w:rPr>
              <w:t>2024</w:t>
            </w:r>
            <w:r w:rsidRPr="00157E45">
              <w:rPr>
                <w:rFonts w:ascii="Arial" w:hAnsi="Arial" w:cs="Arial"/>
                <w:b/>
                <w:bCs/>
              </w:rPr>
              <w:t xml:space="preserve"> to </w:t>
            </w:r>
            <w:r w:rsidR="00AF22E8" w:rsidRPr="00157E45">
              <w:rPr>
                <w:rFonts w:ascii="Arial" w:hAnsi="Arial" w:cs="Arial"/>
                <w:b/>
                <w:bCs/>
              </w:rPr>
              <w:t>2029</w:t>
            </w:r>
          </w:p>
        </w:tc>
      </w:tr>
      <w:bookmarkEnd w:id="52"/>
      <w:tr w:rsidR="004D3F2A" w:rsidRPr="00157E45" w14:paraId="0C8321B7" w14:textId="77777777" w:rsidTr="00F5401A">
        <w:tc>
          <w:tcPr>
            <w:tcW w:w="2547" w:type="dxa"/>
          </w:tcPr>
          <w:p w14:paraId="0E1EFA38" w14:textId="28E0664C" w:rsidR="004D3F2A" w:rsidRPr="00157E45" w:rsidRDefault="004D3F2A" w:rsidP="004D3F2A">
            <w:pPr>
              <w:spacing w:after="120"/>
              <w:rPr>
                <w:rFonts w:ascii="Arial" w:hAnsi="Arial" w:cs="Arial"/>
              </w:rPr>
            </w:pPr>
            <w:r w:rsidRPr="00157E45">
              <w:rPr>
                <w:rFonts w:ascii="Arial" w:hAnsi="Arial" w:cs="Arial"/>
              </w:rPr>
              <w:t>China</w:t>
            </w:r>
          </w:p>
        </w:tc>
        <w:tc>
          <w:tcPr>
            <w:tcW w:w="2551" w:type="dxa"/>
          </w:tcPr>
          <w:p w14:paraId="6514E5AB" w14:textId="3B7701E4" w:rsidR="004D3F2A" w:rsidRPr="00157E45" w:rsidRDefault="004D3F2A" w:rsidP="004D3F2A">
            <w:pPr>
              <w:spacing w:after="120"/>
              <w:rPr>
                <w:rFonts w:ascii="Arial" w:hAnsi="Arial" w:cs="Arial"/>
              </w:rPr>
            </w:pPr>
            <w:r w:rsidRPr="00157E45">
              <w:rPr>
                <w:rFonts w:ascii="Arial" w:hAnsi="Arial" w:cs="Arial"/>
              </w:rPr>
              <w:t>Increase of 89%</w:t>
            </w:r>
          </w:p>
        </w:tc>
        <w:tc>
          <w:tcPr>
            <w:tcW w:w="3969" w:type="dxa"/>
          </w:tcPr>
          <w:p w14:paraId="5571DEF4" w14:textId="7BFA66D1" w:rsidR="004D3F2A" w:rsidRPr="00157E45" w:rsidRDefault="004D3F2A" w:rsidP="004D3F2A">
            <w:pPr>
              <w:spacing w:after="120"/>
              <w:rPr>
                <w:rFonts w:ascii="Arial" w:hAnsi="Arial" w:cs="Arial"/>
              </w:rPr>
            </w:pPr>
            <w:r w:rsidRPr="00157E45">
              <w:rPr>
                <w:rFonts w:ascii="Arial" w:hAnsi="Arial" w:cs="Arial"/>
              </w:rPr>
              <w:t>Increase of 13.6% per annum</w:t>
            </w:r>
          </w:p>
        </w:tc>
      </w:tr>
      <w:tr w:rsidR="004D3F2A" w:rsidRPr="00157E45" w14:paraId="498DB4A3" w14:textId="77777777" w:rsidTr="00F5401A">
        <w:tc>
          <w:tcPr>
            <w:tcW w:w="2547" w:type="dxa"/>
          </w:tcPr>
          <w:p w14:paraId="1DB1329D" w14:textId="67C91FD9" w:rsidR="004D3F2A" w:rsidRPr="00157E45" w:rsidRDefault="004D3F2A" w:rsidP="004D3F2A">
            <w:pPr>
              <w:spacing w:after="120"/>
              <w:rPr>
                <w:rFonts w:ascii="Arial" w:hAnsi="Arial" w:cs="Arial"/>
              </w:rPr>
            </w:pPr>
            <w:r w:rsidRPr="00157E45">
              <w:rPr>
                <w:rFonts w:ascii="Arial" w:hAnsi="Arial" w:cs="Arial"/>
              </w:rPr>
              <w:t>New Zealand</w:t>
            </w:r>
          </w:p>
        </w:tc>
        <w:tc>
          <w:tcPr>
            <w:tcW w:w="2551" w:type="dxa"/>
          </w:tcPr>
          <w:p w14:paraId="1FEC625F" w14:textId="3E003153" w:rsidR="004D3F2A" w:rsidRPr="00157E45" w:rsidRDefault="004D3F2A" w:rsidP="004D3F2A">
            <w:pPr>
              <w:spacing w:after="120"/>
              <w:rPr>
                <w:rFonts w:ascii="Arial" w:hAnsi="Arial" w:cs="Arial"/>
              </w:rPr>
            </w:pPr>
            <w:r w:rsidRPr="00157E45">
              <w:rPr>
                <w:rFonts w:ascii="Arial" w:hAnsi="Arial" w:cs="Arial"/>
              </w:rPr>
              <w:t>Increase of 20%</w:t>
            </w:r>
          </w:p>
        </w:tc>
        <w:tc>
          <w:tcPr>
            <w:tcW w:w="3969" w:type="dxa"/>
          </w:tcPr>
          <w:p w14:paraId="31EF6F4D" w14:textId="5E28792F" w:rsidR="004D3F2A" w:rsidRPr="00157E45" w:rsidRDefault="004D3F2A" w:rsidP="004D3F2A">
            <w:pPr>
              <w:spacing w:after="120"/>
              <w:rPr>
                <w:rFonts w:ascii="Arial" w:hAnsi="Arial" w:cs="Arial"/>
              </w:rPr>
            </w:pPr>
            <w:r w:rsidRPr="00157E45">
              <w:rPr>
                <w:rFonts w:ascii="Arial" w:hAnsi="Arial" w:cs="Arial"/>
              </w:rPr>
              <w:t>Increase of 3.7% per annum</w:t>
            </w:r>
          </w:p>
        </w:tc>
      </w:tr>
      <w:tr w:rsidR="004D3F2A" w:rsidRPr="00157E45" w14:paraId="0A8F37C9" w14:textId="77777777" w:rsidTr="00F5401A">
        <w:tc>
          <w:tcPr>
            <w:tcW w:w="2547" w:type="dxa"/>
          </w:tcPr>
          <w:p w14:paraId="5C57BEFC" w14:textId="50F78E6E" w:rsidR="004D3F2A" w:rsidRPr="00157E45" w:rsidRDefault="004D3F2A" w:rsidP="004D3F2A">
            <w:pPr>
              <w:spacing w:after="120"/>
              <w:rPr>
                <w:rFonts w:ascii="Arial" w:hAnsi="Arial" w:cs="Arial"/>
              </w:rPr>
            </w:pPr>
            <w:r w:rsidRPr="00157E45">
              <w:rPr>
                <w:rFonts w:ascii="Arial" w:hAnsi="Arial" w:cs="Arial"/>
              </w:rPr>
              <w:t>United States of America</w:t>
            </w:r>
          </w:p>
        </w:tc>
        <w:tc>
          <w:tcPr>
            <w:tcW w:w="2551" w:type="dxa"/>
          </w:tcPr>
          <w:p w14:paraId="3EAD311E" w14:textId="13A615CE" w:rsidR="004D3F2A" w:rsidRPr="00157E45" w:rsidRDefault="004D3F2A" w:rsidP="004D3F2A">
            <w:pPr>
              <w:spacing w:after="120"/>
              <w:rPr>
                <w:rFonts w:ascii="Arial" w:hAnsi="Arial" w:cs="Arial"/>
              </w:rPr>
            </w:pPr>
            <w:r w:rsidRPr="00157E45">
              <w:rPr>
                <w:rFonts w:ascii="Arial" w:hAnsi="Arial" w:cs="Arial"/>
              </w:rPr>
              <w:t>Increase of 40%</w:t>
            </w:r>
          </w:p>
        </w:tc>
        <w:tc>
          <w:tcPr>
            <w:tcW w:w="3969" w:type="dxa"/>
          </w:tcPr>
          <w:p w14:paraId="2D46A75C" w14:textId="7D0444AA" w:rsidR="004D3F2A" w:rsidRPr="00157E45" w:rsidRDefault="004D3F2A" w:rsidP="004D3F2A">
            <w:pPr>
              <w:spacing w:after="120"/>
              <w:rPr>
                <w:rFonts w:ascii="Arial" w:hAnsi="Arial" w:cs="Arial"/>
              </w:rPr>
            </w:pPr>
            <w:r w:rsidRPr="00157E45">
              <w:rPr>
                <w:rFonts w:ascii="Arial" w:hAnsi="Arial" w:cs="Arial"/>
              </w:rPr>
              <w:t>Increase of 6.9% per annum</w:t>
            </w:r>
          </w:p>
        </w:tc>
      </w:tr>
      <w:tr w:rsidR="004D3F2A" w:rsidRPr="00157E45" w14:paraId="47E91E14" w14:textId="77777777" w:rsidTr="00F5401A">
        <w:tc>
          <w:tcPr>
            <w:tcW w:w="2547" w:type="dxa"/>
          </w:tcPr>
          <w:p w14:paraId="335BD8CF" w14:textId="19F60E82" w:rsidR="004D3F2A" w:rsidRPr="00157E45" w:rsidRDefault="004D3F2A" w:rsidP="004D3F2A">
            <w:pPr>
              <w:spacing w:after="120"/>
              <w:rPr>
                <w:rFonts w:ascii="Arial" w:hAnsi="Arial" w:cs="Arial"/>
              </w:rPr>
            </w:pPr>
            <w:r w:rsidRPr="00157E45">
              <w:rPr>
                <w:rFonts w:ascii="Arial" w:hAnsi="Arial" w:cs="Arial"/>
              </w:rPr>
              <w:t>India</w:t>
            </w:r>
          </w:p>
        </w:tc>
        <w:tc>
          <w:tcPr>
            <w:tcW w:w="2551" w:type="dxa"/>
          </w:tcPr>
          <w:p w14:paraId="5F626FB3" w14:textId="28522C4C" w:rsidR="004D3F2A" w:rsidRPr="00157E45" w:rsidRDefault="004D3F2A" w:rsidP="004D3F2A">
            <w:pPr>
              <w:spacing w:after="120"/>
              <w:rPr>
                <w:rFonts w:ascii="Arial" w:hAnsi="Arial" w:cs="Arial"/>
              </w:rPr>
            </w:pPr>
            <w:r w:rsidRPr="00157E45">
              <w:rPr>
                <w:rFonts w:ascii="Arial" w:hAnsi="Arial" w:cs="Arial"/>
              </w:rPr>
              <w:t>Increase of 42%</w:t>
            </w:r>
          </w:p>
        </w:tc>
        <w:tc>
          <w:tcPr>
            <w:tcW w:w="3969" w:type="dxa"/>
          </w:tcPr>
          <w:p w14:paraId="65995F47" w14:textId="39D15AFA" w:rsidR="004D3F2A" w:rsidRPr="00157E45" w:rsidRDefault="004D3F2A" w:rsidP="004D3F2A">
            <w:pPr>
              <w:spacing w:after="120"/>
              <w:rPr>
                <w:rFonts w:ascii="Arial" w:hAnsi="Arial" w:cs="Arial"/>
              </w:rPr>
            </w:pPr>
            <w:r w:rsidRPr="00157E45">
              <w:rPr>
                <w:rFonts w:ascii="Arial" w:hAnsi="Arial" w:cs="Arial"/>
              </w:rPr>
              <w:t>Increase of 7.2% per annum</w:t>
            </w:r>
          </w:p>
        </w:tc>
      </w:tr>
      <w:tr w:rsidR="004D3F2A" w:rsidRPr="00157E45" w14:paraId="73E5EE73" w14:textId="77777777" w:rsidTr="00F5401A">
        <w:tc>
          <w:tcPr>
            <w:tcW w:w="2547" w:type="dxa"/>
          </w:tcPr>
          <w:p w14:paraId="5533C5B3" w14:textId="38648860" w:rsidR="004D3F2A" w:rsidRPr="00157E45" w:rsidRDefault="004D3F2A" w:rsidP="004D3F2A">
            <w:pPr>
              <w:spacing w:after="120"/>
              <w:rPr>
                <w:rFonts w:ascii="Arial" w:hAnsi="Arial" w:cs="Arial"/>
              </w:rPr>
            </w:pPr>
            <w:r w:rsidRPr="00157E45">
              <w:rPr>
                <w:rFonts w:ascii="Arial" w:hAnsi="Arial" w:cs="Arial"/>
              </w:rPr>
              <w:t>United Kingdom</w:t>
            </w:r>
          </w:p>
        </w:tc>
        <w:tc>
          <w:tcPr>
            <w:tcW w:w="2551" w:type="dxa"/>
          </w:tcPr>
          <w:p w14:paraId="6E29EF10" w14:textId="2E129AF7" w:rsidR="004D3F2A" w:rsidRPr="00157E45" w:rsidRDefault="004D3F2A" w:rsidP="004D3F2A">
            <w:pPr>
              <w:spacing w:after="120"/>
              <w:rPr>
                <w:rFonts w:ascii="Arial" w:hAnsi="Arial" w:cs="Arial"/>
              </w:rPr>
            </w:pPr>
            <w:r w:rsidRPr="00157E45">
              <w:rPr>
                <w:rFonts w:ascii="Arial" w:hAnsi="Arial" w:cs="Arial"/>
              </w:rPr>
              <w:t>Increase of 23%</w:t>
            </w:r>
          </w:p>
        </w:tc>
        <w:tc>
          <w:tcPr>
            <w:tcW w:w="3969" w:type="dxa"/>
          </w:tcPr>
          <w:p w14:paraId="3E34351A" w14:textId="0FEAF5E3" w:rsidR="004D3F2A" w:rsidRPr="00157E45" w:rsidRDefault="004D3F2A" w:rsidP="004D3F2A">
            <w:pPr>
              <w:spacing w:after="120"/>
              <w:rPr>
                <w:rFonts w:ascii="Arial" w:hAnsi="Arial" w:cs="Arial"/>
              </w:rPr>
            </w:pPr>
            <w:r w:rsidRPr="00157E45">
              <w:rPr>
                <w:rFonts w:ascii="Arial" w:hAnsi="Arial" w:cs="Arial"/>
              </w:rPr>
              <w:t>Increase of 4.2% per annum</w:t>
            </w:r>
          </w:p>
        </w:tc>
      </w:tr>
      <w:tr w:rsidR="004D3F2A" w:rsidRPr="00157E45" w14:paraId="611CB4C4" w14:textId="77777777" w:rsidTr="00F5401A">
        <w:tc>
          <w:tcPr>
            <w:tcW w:w="2547" w:type="dxa"/>
          </w:tcPr>
          <w:p w14:paraId="56F9A0F8" w14:textId="74B3A484" w:rsidR="004D3F2A" w:rsidRPr="00157E45" w:rsidRDefault="004D3F2A" w:rsidP="004D3F2A">
            <w:pPr>
              <w:spacing w:after="120"/>
              <w:rPr>
                <w:rFonts w:ascii="Arial" w:hAnsi="Arial" w:cs="Arial"/>
              </w:rPr>
            </w:pPr>
            <w:r w:rsidRPr="00157E45">
              <w:rPr>
                <w:rFonts w:ascii="Arial" w:hAnsi="Arial" w:cs="Arial"/>
              </w:rPr>
              <w:t>Singapore</w:t>
            </w:r>
          </w:p>
        </w:tc>
        <w:tc>
          <w:tcPr>
            <w:tcW w:w="2551" w:type="dxa"/>
          </w:tcPr>
          <w:p w14:paraId="63F30CD1" w14:textId="30F92A1C" w:rsidR="004D3F2A" w:rsidRPr="00157E45" w:rsidRDefault="004D3F2A" w:rsidP="004D3F2A">
            <w:pPr>
              <w:spacing w:after="120"/>
              <w:rPr>
                <w:rFonts w:ascii="Arial" w:hAnsi="Arial" w:cs="Arial"/>
              </w:rPr>
            </w:pPr>
            <w:r w:rsidRPr="00157E45">
              <w:rPr>
                <w:rFonts w:ascii="Arial" w:hAnsi="Arial" w:cs="Arial"/>
              </w:rPr>
              <w:t>Increase of 25%</w:t>
            </w:r>
          </w:p>
        </w:tc>
        <w:tc>
          <w:tcPr>
            <w:tcW w:w="3969" w:type="dxa"/>
          </w:tcPr>
          <w:p w14:paraId="41A13936" w14:textId="2DC28F4C" w:rsidR="004D3F2A" w:rsidRPr="00157E45" w:rsidRDefault="004D3F2A" w:rsidP="004D3F2A">
            <w:pPr>
              <w:spacing w:after="120"/>
              <w:rPr>
                <w:rFonts w:ascii="Arial" w:hAnsi="Arial" w:cs="Arial"/>
              </w:rPr>
            </w:pPr>
            <w:r w:rsidRPr="00157E45">
              <w:rPr>
                <w:rFonts w:ascii="Arial" w:hAnsi="Arial" w:cs="Arial"/>
              </w:rPr>
              <w:t>Increase of 4.6% per annum</w:t>
            </w:r>
          </w:p>
        </w:tc>
      </w:tr>
      <w:tr w:rsidR="004D3F2A" w:rsidRPr="00157E45" w14:paraId="4226BA9D" w14:textId="77777777" w:rsidTr="00F5401A">
        <w:tc>
          <w:tcPr>
            <w:tcW w:w="2547" w:type="dxa"/>
          </w:tcPr>
          <w:p w14:paraId="254FAF7A" w14:textId="6C6FEE74" w:rsidR="004D3F2A" w:rsidRPr="00157E45" w:rsidRDefault="004D3F2A" w:rsidP="004D3F2A">
            <w:pPr>
              <w:spacing w:after="120"/>
              <w:rPr>
                <w:rFonts w:ascii="Arial" w:hAnsi="Arial" w:cs="Arial"/>
              </w:rPr>
            </w:pPr>
            <w:r w:rsidRPr="00157E45">
              <w:rPr>
                <w:rFonts w:ascii="Arial" w:hAnsi="Arial" w:cs="Arial"/>
              </w:rPr>
              <w:t>Hong Kong</w:t>
            </w:r>
          </w:p>
        </w:tc>
        <w:tc>
          <w:tcPr>
            <w:tcW w:w="2551" w:type="dxa"/>
          </w:tcPr>
          <w:p w14:paraId="177271E1" w14:textId="3399B28F" w:rsidR="004D3F2A" w:rsidRPr="00157E45" w:rsidRDefault="004D3F2A" w:rsidP="004D3F2A">
            <w:pPr>
              <w:spacing w:after="120"/>
              <w:rPr>
                <w:rFonts w:ascii="Arial" w:hAnsi="Arial" w:cs="Arial"/>
              </w:rPr>
            </w:pPr>
            <w:r w:rsidRPr="00157E45">
              <w:rPr>
                <w:rFonts w:ascii="Arial" w:hAnsi="Arial" w:cs="Arial"/>
              </w:rPr>
              <w:t>Increase of 56%</w:t>
            </w:r>
          </w:p>
        </w:tc>
        <w:tc>
          <w:tcPr>
            <w:tcW w:w="3969" w:type="dxa"/>
          </w:tcPr>
          <w:p w14:paraId="7D0BA0DA" w14:textId="4EF915D2" w:rsidR="004D3F2A" w:rsidRPr="00157E45" w:rsidRDefault="004D3F2A" w:rsidP="004D3F2A">
            <w:pPr>
              <w:spacing w:after="120"/>
              <w:rPr>
                <w:rFonts w:ascii="Arial" w:hAnsi="Arial" w:cs="Arial"/>
              </w:rPr>
            </w:pPr>
            <w:r w:rsidRPr="00157E45">
              <w:rPr>
                <w:rFonts w:ascii="Arial" w:hAnsi="Arial" w:cs="Arial"/>
              </w:rPr>
              <w:t>Increase of 9.4% per annum</w:t>
            </w:r>
          </w:p>
        </w:tc>
      </w:tr>
      <w:tr w:rsidR="004D3F2A" w:rsidRPr="00157E45" w14:paraId="68692110" w14:textId="77777777" w:rsidTr="00F5401A">
        <w:tc>
          <w:tcPr>
            <w:tcW w:w="2547" w:type="dxa"/>
          </w:tcPr>
          <w:p w14:paraId="62D1F6C5" w14:textId="4F6A23BF" w:rsidR="004D3F2A" w:rsidRPr="00157E45" w:rsidRDefault="004D3F2A" w:rsidP="004D3F2A">
            <w:pPr>
              <w:spacing w:after="120"/>
              <w:rPr>
                <w:rFonts w:ascii="Arial" w:hAnsi="Arial" w:cs="Arial"/>
              </w:rPr>
            </w:pPr>
            <w:r w:rsidRPr="00157E45">
              <w:rPr>
                <w:rFonts w:ascii="Arial" w:hAnsi="Arial" w:cs="Arial"/>
              </w:rPr>
              <w:t>Malaysia</w:t>
            </w:r>
          </w:p>
        </w:tc>
        <w:tc>
          <w:tcPr>
            <w:tcW w:w="2551" w:type="dxa"/>
          </w:tcPr>
          <w:p w14:paraId="7EEA0D8A" w14:textId="55D57459" w:rsidR="004D3F2A" w:rsidRPr="00157E45" w:rsidRDefault="004D3F2A" w:rsidP="004D3F2A">
            <w:pPr>
              <w:spacing w:after="120"/>
              <w:rPr>
                <w:rFonts w:ascii="Arial" w:hAnsi="Arial" w:cs="Arial"/>
              </w:rPr>
            </w:pPr>
            <w:r w:rsidRPr="00157E45">
              <w:rPr>
                <w:rFonts w:ascii="Arial" w:hAnsi="Arial" w:cs="Arial"/>
              </w:rPr>
              <w:t>Increase of 89%</w:t>
            </w:r>
          </w:p>
        </w:tc>
        <w:tc>
          <w:tcPr>
            <w:tcW w:w="3969" w:type="dxa"/>
          </w:tcPr>
          <w:p w14:paraId="2BF4C653" w14:textId="1D6781D0" w:rsidR="004D3F2A" w:rsidRPr="00157E45" w:rsidRDefault="004D3F2A" w:rsidP="004D3F2A">
            <w:pPr>
              <w:spacing w:after="120"/>
              <w:rPr>
                <w:rFonts w:ascii="Arial" w:hAnsi="Arial" w:cs="Arial"/>
              </w:rPr>
            </w:pPr>
            <w:r w:rsidRPr="00157E45">
              <w:rPr>
                <w:rFonts w:ascii="Arial" w:hAnsi="Arial" w:cs="Arial"/>
              </w:rPr>
              <w:t>Increase of 13.6% per annum</w:t>
            </w:r>
          </w:p>
        </w:tc>
      </w:tr>
      <w:tr w:rsidR="004D3F2A" w:rsidRPr="00157E45" w14:paraId="311BE584" w14:textId="77777777" w:rsidTr="00F5401A">
        <w:tc>
          <w:tcPr>
            <w:tcW w:w="2547" w:type="dxa"/>
          </w:tcPr>
          <w:p w14:paraId="24264485" w14:textId="77DDE97C" w:rsidR="004D3F2A" w:rsidRPr="00157E45" w:rsidRDefault="004D3F2A" w:rsidP="004D3F2A">
            <w:pPr>
              <w:spacing w:after="120"/>
              <w:rPr>
                <w:rFonts w:ascii="Arial" w:hAnsi="Arial" w:cs="Arial"/>
              </w:rPr>
            </w:pPr>
            <w:r w:rsidRPr="00157E45">
              <w:rPr>
                <w:rFonts w:ascii="Arial" w:hAnsi="Arial" w:cs="Arial"/>
              </w:rPr>
              <w:t>Japan</w:t>
            </w:r>
          </w:p>
        </w:tc>
        <w:tc>
          <w:tcPr>
            <w:tcW w:w="2551" w:type="dxa"/>
          </w:tcPr>
          <w:p w14:paraId="136AAD42" w14:textId="60F54AFF" w:rsidR="004D3F2A" w:rsidRPr="00157E45" w:rsidRDefault="004D3F2A" w:rsidP="004D3F2A">
            <w:pPr>
              <w:spacing w:after="120"/>
              <w:rPr>
                <w:rFonts w:ascii="Arial" w:hAnsi="Arial" w:cs="Arial"/>
              </w:rPr>
            </w:pPr>
            <w:r w:rsidRPr="00157E45">
              <w:rPr>
                <w:rFonts w:ascii="Arial" w:hAnsi="Arial" w:cs="Arial"/>
              </w:rPr>
              <w:t>Increase of 52%</w:t>
            </w:r>
          </w:p>
        </w:tc>
        <w:tc>
          <w:tcPr>
            <w:tcW w:w="3969" w:type="dxa"/>
          </w:tcPr>
          <w:p w14:paraId="6B1F76C2" w14:textId="3DD8AEF3" w:rsidR="004D3F2A" w:rsidRPr="00157E45" w:rsidRDefault="004D3F2A" w:rsidP="004D3F2A">
            <w:pPr>
              <w:spacing w:after="120"/>
              <w:rPr>
                <w:rFonts w:ascii="Arial" w:hAnsi="Arial" w:cs="Arial"/>
              </w:rPr>
            </w:pPr>
            <w:r w:rsidRPr="00157E45">
              <w:rPr>
                <w:rFonts w:ascii="Arial" w:hAnsi="Arial" w:cs="Arial"/>
              </w:rPr>
              <w:t>Increase of 8.8% per annum</w:t>
            </w:r>
          </w:p>
        </w:tc>
      </w:tr>
      <w:tr w:rsidR="004D3F2A" w:rsidRPr="00157E45" w14:paraId="184D0492" w14:textId="77777777" w:rsidTr="00F5401A">
        <w:tc>
          <w:tcPr>
            <w:tcW w:w="2547" w:type="dxa"/>
          </w:tcPr>
          <w:p w14:paraId="1640C84E" w14:textId="6D536D6A" w:rsidR="004D3F2A" w:rsidRPr="00157E45" w:rsidRDefault="004D3F2A" w:rsidP="004D3F2A">
            <w:pPr>
              <w:spacing w:after="120"/>
              <w:rPr>
                <w:rFonts w:ascii="Arial" w:hAnsi="Arial" w:cs="Arial"/>
              </w:rPr>
            </w:pPr>
            <w:r w:rsidRPr="00157E45">
              <w:rPr>
                <w:rFonts w:ascii="Arial" w:hAnsi="Arial" w:cs="Arial"/>
              </w:rPr>
              <w:t>Vietnam</w:t>
            </w:r>
          </w:p>
        </w:tc>
        <w:tc>
          <w:tcPr>
            <w:tcW w:w="2551" w:type="dxa"/>
          </w:tcPr>
          <w:p w14:paraId="6AB1E8AA" w14:textId="006FF68C" w:rsidR="004D3F2A" w:rsidRPr="00157E45" w:rsidRDefault="004D3F2A" w:rsidP="004D3F2A">
            <w:pPr>
              <w:spacing w:after="120"/>
              <w:rPr>
                <w:rFonts w:ascii="Arial" w:hAnsi="Arial" w:cs="Arial"/>
              </w:rPr>
            </w:pPr>
            <w:r w:rsidRPr="00157E45">
              <w:rPr>
                <w:rFonts w:ascii="Arial" w:hAnsi="Arial" w:cs="Arial"/>
              </w:rPr>
              <w:t>Increase of 45%</w:t>
            </w:r>
          </w:p>
        </w:tc>
        <w:tc>
          <w:tcPr>
            <w:tcW w:w="3969" w:type="dxa"/>
          </w:tcPr>
          <w:p w14:paraId="4E511986" w14:textId="26047E4E" w:rsidR="004D3F2A" w:rsidRPr="00157E45" w:rsidRDefault="004D3F2A" w:rsidP="004D3F2A">
            <w:pPr>
              <w:spacing w:after="120"/>
              <w:rPr>
                <w:rFonts w:ascii="Arial" w:hAnsi="Arial" w:cs="Arial"/>
              </w:rPr>
            </w:pPr>
            <w:r w:rsidRPr="00157E45">
              <w:rPr>
                <w:rFonts w:ascii="Arial" w:hAnsi="Arial" w:cs="Arial"/>
              </w:rPr>
              <w:t>Increase of 7.8% per annum</w:t>
            </w:r>
          </w:p>
        </w:tc>
      </w:tr>
      <w:tr w:rsidR="004D3F2A" w:rsidRPr="00157E45" w14:paraId="4B399809" w14:textId="77777777" w:rsidTr="00F5401A">
        <w:tc>
          <w:tcPr>
            <w:tcW w:w="2547" w:type="dxa"/>
          </w:tcPr>
          <w:p w14:paraId="5DB5152D" w14:textId="7B6E9200" w:rsidR="004D3F2A" w:rsidRPr="00157E45" w:rsidRDefault="004D3F2A" w:rsidP="004D3F2A">
            <w:pPr>
              <w:spacing w:after="120"/>
              <w:rPr>
                <w:rFonts w:ascii="Arial" w:hAnsi="Arial" w:cs="Arial"/>
              </w:rPr>
            </w:pPr>
            <w:r w:rsidRPr="00157E45">
              <w:rPr>
                <w:rFonts w:ascii="Arial" w:hAnsi="Arial" w:cs="Arial"/>
              </w:rPr>
              <w:t>Indonesia</w:t>
            </w:r>
          </w:p>
        </w:tc>
        <w:tc>
          <w:tcPr>
            <w:tcW w:w="2551" w:type="dxa"/>
          </w:tcPr>
          <w:p w14:paraId="3E58169F" w14:textId="7FA1DD11" w:rsidR="004D3F2A" w:rsidRPr="00157E45" w:rsidRDefault="004D3F2A" w:rsidP="004D3F2A">
            <w:pPr>
              <w:spacing w:after="120"/>
              <w:rPr>
                <w:rFonts w:ascii="Arial" w:hAnsi="Arial" w:cs="Arial"/>
              </w:rPr>
            </w:pPr>
            <w:r w:rsidRPr="00157E45">
              <w:rPr>
                <w:rFonts w:ascii="Arial" w:hAnsi="Arial" w:cs="Arial"/>
              </w:rPr>
              <w:t>Increase of 45%</w:t>
            </w:r>
          </w:p>
        </w:tc>
        <w:tc>
          <w:tcPr>
            <w:tcW w:w="3969" w:type="dxa"/>
          </w:tcPr>
          <w:p w14:paraId="06FA4BC6" w14:textId="40D364E1" w:rsidR="004D3F2A" w:rsidRPr="00157E45" w:rsidRDefault="004D3F2A" w:rsidP="004D3F2A">
            <w:pPr>
              <w:spacing w:after="120"/>
              <w:rPr>
                <w:rFonts w:ascii="Arial" w:hAnsi="Arial" w:cs="Arial"/>
              </w:rPr>
            </w:pPr>
            <w:r w:rsidRPr="00157E45">
              <w:rPr>
                <w:rFonts w:ascii="Arial" w:hAnsi="Arial" w:cs="Arial"/>
              </w:rPr>
              <w:t>Increase of 7.7% per annum</w:t>
            </w:r>
          </w:p>
        </w:tc>
      </w:tr>
      <w:tr w:rsidR="004D3F2A" w:rsidRPr="00157E45" w14:paraId="296FF266" w14:textId="77777777" w:rsidTr="00F5401A">
        <w:tc>
          <w:tcPr>
            <w:tcW w:w="2547" w:type="dxa"/>
          </w:tcPr>
          <w:p w14:paraId="7B8A7871" w14:textId="571D5690" w:rsidR="004D3F2A" w:rsidRPr="00157E45" w:rsidRDefault="004D3F2A" w:rsidP="004D3F2A">
            <w:pPr>
              <w:spacing w:after="120"/>
              <w:rPr>
                <w:rFonts w:ascii="Arial" w:hAnsi="Arial" w:cs="Arial"/>
              </w:rPr>
            </w:pPr>
            <w:r w:rsidRPr="00157E45">
              <w:rPr>
                <w:rFonts w:ascii="Arial" w:hAnsi="Arial" w:cs="Arial"/>
              </w:rPr>
              <w:t>Taiwan</w:t>
            </w:r>
          </w:p>
        </w:tc>
        <w:tc>
          <w:tcPr>
            <w:tcW w:w="2551" w:type="dxa"/>
          </w:tcPr>
          <w:p w14:paraId="74BC0E1F" w14:textId="59FF026F" w:rsidR="004D3F2A" w:rsidRPr="00157E45" w:rsidRDefault="004D3F2A" w:rsidP="004D3F2A">
            <w:pPr>
              <w:spacing w:after="120"/>
              <w:rPr>
                <w:rFonts w:ascii="Arial" w:hAnsi="Arial" w:cs="Arial"/>
              </w:rPr>
            </w:pPr>
            <w:r w:rsidRPr="00157E45">
              <w:rPr>
                <w:rFonts w:ascii="Arial" w:hAnsi="Arial" w:cs="Arial"/>
              </w:rPr>
              <w:t>Increase of 50%</w:t>
            </w:r>
          </w:p>
        </w:tc>
        <w:tc>
          <w:tcPr>
            <w:tcW w:w="3969" w:type="dxa"/>
          </w:tcPr>
          <w:p w14:paraId="0A3B8BD4" w14:textId="7519AAB0" w:rsidR="004D3F2A" w:rsidRPr="00157E45" w:rsidRDefault="004D3F2A" w:rsidP="004D3F2A">
            <w:pPr>
              <w:spacing w:after="120"/>
              <w:rPr>
                <w:rFonts w:ascii="Arial" w:hAnsi="Arial" w:cs="Arial"/>
              </w:rPr>
            </w:pPr>
            <w:r w:rsidRPr="00157E45">
              <w:rPr>
                <w:rFonts w:ascii="Arial" w:hAnsi="Arial" w:cs="Arial"/>
              </w:rPr>
              <w:t>Increase of 8.4% per annum</w:t>
            </w:r>
          </w:p>
        </w:tc>
      </w:tr>
      <w:tr w:rsidR="004D3F2A" w:rsidRPr="00157E45" w14:paraId="234C3346" w14:textId="77777777" w:rsidTr="00F5401A">
        <w:tc>
          <w:tcPr>
            <w:tcW w:w="2547" w:type="dxa"/>
          </w:tcPr>
          <w:p w14:paraId="46B2F73D" w14:textId="4ECA9F2C" w:rsidR="004D3F2A" w:rsidRPr="00157E45" w:rsidRDefault="004D3F2A" w:rsidP="004D3F2A">
            <w:pPr>
              <w:spacing w:after="120"/>
              <w:rPr>
                <w:rFonts w:ascii="Arial" w:hAnsi="Arial" w:cs="Arial"/>
              </w:rPr>
            </w:pPr>
            <w:r w:rsidRPr="00157E45">
              <w:rPr>
                <w:rFonts w:ascii="Arial" w:hAnsi="Arial" w:cs="Arial"/>
              </w:rPr>
              <w:t>South Korea</w:t>
            </w:r>
          </w:p>
        </w:tc>
        <w:tc>
          <w:tcPr>
            <w:tcW w:w="2551" w:type="dxa"/>
          </w:tcPr>
          <w:p w14:paraId="49566FA5" w14:textId="3FE6C650" w:rsidR="004D3F2A" w:rsidRPr="00157E45" w:rsidRDefault="004D3F2A" w:rsidP="004D3F2A">
            <w:pPr>
              <w:spacing w:after="120"/>
              <w:rPr>
                <w:rFonts w:ascii="Arial" w:hAnsi="Arial" w:cs="Arial"/>
              </w:rPr>
            </w:pPr>
            <w:r w:rsidRPr="00157E45">
              <w:rPr>
                <w:rFonts w:ascii="Arial" w:hAnsi="Arial" w:cs="Arial"/>
              </w:rPr>
              <w:t>Increase of 23%</w:t>
            </w:r>
          </w:p>
        </w:tc>
        <w:tc>
          <w:tcPr>
            <w:tcW w:w="3969" w:type="dxa"/>
          </w:tcPr>
          <w:p w14:paraId="5AC3C43D" w14:textId="091ABE7C" w:rsidR="004D3F2A" w:rsidRPr="00157E45" w:rsidRDefault="004D3F2A" w:rsidP="004D3F2A">
            <w:pPr>
              <w:spacing w:after="120"/>
              <w:rPr>
                <w:rFonts w:ascii="Arial" w:hAnsi="Arial" w:cs="Arial"/>
              </w:rPr>
            </w:pPr>
            <w:r w:rsidRPr="00157E45">
              <w:rPr>
                <w:rFonts w:ascii="Arial" w:hAnsi="Arial" w:cs="Arial"/>
              </w:rPr>
              <w:t>Increase of 4.2% per annum</w:t>
            </w:r>
          </w:p>
        </w:tc>
      </w:tr>
      <w:tr w:rsidR="004D3F2A" w:rsidRPr="00157E45" w14:paraId="7BCB890B" w14:textId="77777777" w:rsidTr="00F5401A">
        <w:tc>
          <w:tcPr>
            <w:tcW w:w="2547" w:type="dxa"/>
          </w:tcPr>
          <w:p w14:paraId="3D57D979" w14:textId="68BBBCFD" w:rsidR="004D3F2A" w:rsidRPr="00157E45" w:rsidRDefault="004D3F2A" w:rsidP="004D3F2A">
            <w:pPr>
              <w:spacing w:after="120"/>
              <w:rPr>
                <w:rFonts w:ascii="Arial" w:hAnsi="Arial" w:cs="Arial"/>
              </w:rPr>
            </w:pPr>
            <w:r w:rsidRPr="00157E45">
              <w:rPr>
                <w:rFonts w:ascii="Arial" w:hAnsi="Arial" w:cs="Arial"/>
              </w:rPr>
              <w:t>Germany</w:t>
            </w:r>
          </w:p>
        </w:tc>
        <w:tc>
          <w:tcPr>
            <w:tcW w:w="2551" w:type="dxa"/>
          </w:tcPr>
          <w:p w14:paraId="2028205E" w14:textId="66228893" w:rsidR="004D3F2A" w:rsidRPr="00157E45" w:rsidRDefault="004D3F2A" w:rsidP="004D3F2A">
            <w:pPr>
              <w:spacing w:after="120"/>
              <w:rPr>
                <w:rFonts w:ascii="Arial" w:hAnsi="Arial" w:cs="Arial"/>
              </w:rPr>
            </w:pPr>
            <w:r w:rsidRPr="00157E45">
              <w:rPr>
                <w:rFonts w:ascii="Arial" w:hAnsi="Arial" w:cs="Arial"/>
              </w:rPr>
              <w:t>Increase of 31%</w:t>
            </w:r>
          </w:p>
        </w:tc>
        <w:tc>
          <w:tcPr>
            <w:tcW w:w="3969" w:type="dxa"/>
          </w:tcPr>
          <w:p w14:paraId="6E3ED703" w14:textId="3E56D4AA" w:rsidR="004D3F2A" w:rsidRPr="00157E45" w:rsidRDefault="004D3F2A" w:rsidP="004D3F2A">
            <w:pPr>
              <w:spacing w:after="120"/>
              <w:rPr>
                <w:rFonts w:ascii="Arial" w:hAnsi="Arial" w:cs="Arial"/>
              </w:rPr>
            </w:pPr>
            <w:r w:rsidRPr="00157E45">
              <w:rPr>
                <w:rFonts w:ascii="Arial" w:hAnsi="Arial" w:cs="Arial"/>
              </w:rPr>
              <w:t>Increase of 5.5% per annum</w:t>
            </w:r>
          </w:p>
        </w:tc>
      </w:tr>
      <w:tr w:rsidR="004D3F2A" w:rsidRPr="00157E45" w14:paraId="1B8DF6A3" w14:textId="77777777" w:rsidTr="00F5401A">
        <w:tc>
          <w:tcPr>
            <w:tcW w:w="2547" w:type="dxa"/>
          </w:tcPr>
          <w:p w14:paraId="4A556E0C" w14:textId="1FD01E23" w:rsidR="004D3F2A" w:rsidRPr="00157E45" w:rsidRDefault="004D3F2A" w:rsidP="004D3F2A">
            <w:pPr>
              <w:spacing w:after="120"/>
              <w:rPr>
                <w:rFonts w:ascii="Arial" w:hAnsi="Arial" w:cs="Arial"/>
              </w:rPr>
            </w:pPr>
            <w:r w:rsidRPr="00157E45">
              <w:rPr>
                <w:rFonts w:ascii="Arial" w:hAnsi="Arial" w:cs="Arial"/>
              </w:rPr>
              <w:t>Canada</w:t>
            </w:r>
          </w:p>
        </w:tc>
        <w:tc>
          <w:tcPr>
            <w:tcW w:w="2551" w:type="dxa"/>
          </w:tcPr>
          <w:p w14:paraId="0155A5AA" w14:textId="4FC2F21F" w:rsidR="004D3F2A" w:rsidRPr="00157E45" w:rsidRDefault="004D3F2A" w:rsidP="004D3F2A">
            <w:pPr>
              <w:spacing w:after="120"/>
              <w:rPr>
                <w:rFonts w:ascii="Arial" w:hAnsi="Arial" w:cs="Arial"/>
              </w:rPr>
            </w:pPr>
            <w:r w:rsidRPr="00157E45">
              <w:rPr>
                <w:rFonts w:ascii="Arial" w:hAnsi="Arial" w:cs="Arial"/>
              </w:rPr>
              <w:t>Increase of 32%</w:t>
            </w:r>
          </w:p>
        </w:tc>
        <w:tc>
          <w:tcPr>
            <w:tcW w:w="3969" w:type="dxa"/>
          </w:tcPr>
          <w:p w14:paraId="4A6B905C" w14:textId="62208E18" w:rsidR="004D3F2A" w:rsidRPr="00157E45" w:rsidRDefault="004D3F2A" w:rsidP="004D3F2A">
            <w:pPr>
              <w:spacing w:after="120"/>
              <w:rPr>
                <w:rFonts w:ascii="Arial" w:hAnsi="Arial" w:cs="Arial"/>
              </w:rPr>
            </w:pPr>
            <w:r w:rsidRPr="00157E45">
              <w:rPr>
                <w:rFonts w:ascii="Arial" w:hAnsi="Arial" w:cs="Arial"/>
              </w:rPr>
              <w:t>Increase of 5.7% per annum</w:t>
            </w:r>
          </w:p>
        </w:tc>
      </w:tr>
    </w:tbl>
    <w:p w14:paraId="71D1A452" w14:textId="7F497FD8" w:rsidR="00A66F25" w:rsidRPr="00157E45" w:rsidRDefault="008F2ABF" w:rsidP="00542181">
      <w:pPr>
        <w:pStyle w:val="Heading1"/>
        <w:rPr>
          <w:rFonts w:ascii="Arial" w:hAnsi="Arial" w:cs="Arial"/>
        </w:rPr>
      </w:pPr>
      <w:bookmarkStart w:id="53" w:name="_Toc184116533"/>
      <w:r w:rsidRPr="00157E45">
        <w:rPr>
          <w:rFonts w:ascii="Arial" w:hAnsi="Arial" w:cs="Arial"/>
        </w:rPr>
        <w:t xml:space="preserve">10.0 </w:t>
      </w:r>
      <w:r w:rsidR="00542181" w:rsidRPr="00157E45">
        <w:rPr>
          <w:rFonts w:ascii="Arial" w:hAnsi="Arial" w:cs="Arial"/>
        </w:rPr>
        <w:t xml:space="preserve">International </w:t>
      </w:r>
      <w:r w:rsidR="005C1711" w:rsidRPr="00157E45">
        <w:rPr>
          <w:rFonts w:ascii="Arial" w:hAnsi="Arial" w:cs="Arial"/>
        </w:rPr>
        <w:t xml:space="preserve">purpose of </w:t>
      </w:r>
      <w:r w:rsidR="00542181" w:rsidRPr="00157E45">
        <w:rPr>
          <w:rFonts w:ascii="Arial" w:hAnsi="Arial" w:cs="Arial"/>
        </w:rPr>
        <w:t>visit</w:t>
      </w:r>
      <w:r w:rsidR="005C1711" w:rsidRPr="00157E45">
        <w:rPr>
          <w:rFonts w:ascii="Arial" w:hAnsi="Arial" w:cs="Arial"/>
        </w:rPr>
        <w:t xml:space="preserve"> forecasts</w:t>
      </w:r>
      <w:bookmarkEnd w:id="53"/>
    </w:p>
    <w:p w14:paraId="504FAEA1" w14:textId="77777777" w:rsidR="00E83C49" w:rsidRPr="00157E45" w:rsidRDefault="00E83C49" w:rsidP="00E83C49">
      <w:pPr>
        <w:rPr>
          <w:rFonts w:ascii="Arial" w:hAnsi="Arial" w:cs="Arial"/>
          <w:sz w:val="4"/>
          <w:szCs w:val="4"/>
        </w:rPr>
      </w:pPr>
    </w:p>
    <w:p w14:paraId="7CE5C6EF" w14:textId="553E40FB" w:rsidR="005C1711" w:rsidRPr="00157E45" w:rsidRDefault="00F07ADB" w:rsidP="00DD6657">
      <w:pPr>
        <w:pStyle w:val="ListParagraph"/>
        <w:numPr>
          <w:ilvl w:val="0"/>
          <w:numId w:val="4"/>
        </w:numPr>
        <w:rPr>
          <w:rFonts w:ascii="Arial" w:hAnsi="Arial" w:cs="Arial"/>
          <w:sz w:val="22"/>
          <w:szCs w:val="22"/>
        </w:rPr>
      </w:pPr>
      <w:r w:rsidRPr="00157E45">
        <w:rPr>
          <w:rFonts w:ascii="Arial" w:hAnsi="Arial" w:cs="Arial"/>
          <w:sz w:val="22"/>
          <w:szCs w:val="22"/>
        </w:rPr>
        <w:t>The holiday segment is the largest international purpose of arrival segment. It is expected to return to 2019 levels by 2027 with almost 1.8 million arrivals</w:t>
      </w:r>
      <w:r w:rsidR="005C1711" w:rsidRPr="00157E45">
        <w:rPr>
          <w:rFonts w:ascii="Arial" w:hAnsi="Arial" w:cs="Arial"/>
          <w:sz w:val="22"/>
          <w:szCs w:val="22"/>
        </w:rPr>
        <w:t>.</w:t>
      </w:r>
    </w:p>
    <w:p w14:paraId="3D537909" w14:textId="47756057" w:rsidR="005C1711" w:rsidRPr="00157E45" w:rsidRDefault="00F47F94" w:rsidP="00DD6657">
      <w:pPr>
        <w:pStyle w:val="ListParagraph"/>
        <w:numPr>
          <w:ilvl w:val="0"/>
          <w:numId w:val="4"/>
        </w:numPr>
        <w:rPr>
          <w:rFonts w:ascii="Arial" w:hAnsi="Arial" w:cs="Arial"/>
          <w:sz w:val="22"/>
          <w:szCs w:val="22"/>
        </w:rPr>
      </w:pPr>
      <w:r w:rsidRPr="00157E45">
        <w:rPr>
          <w:rFonts w:ascii="Arial" w:hAnsi="Arial" w:cs="Arial"/>
          <w:sz w:val="22"/>
          <w:szCs w:val="22"/>
        </w:rPr>
        <w:t>Strong pent up demand to visit family and friends resulted in a surge in VFR travel in 2022/23 which is expected to moderate more quickly than previously expected. By 2029, Victoria is expected to receive over 1.0 million VFR visitors</w:t>
      </w:r>
      <w:r w:rsidR="005C1711" w:rsidRPr="00157E45">
        <w:rPr>
          <w:rFonts w:ascii="Arial" w:hAnsi="Arial" w:cs="Arial"/>
          <w:sz w:val="22"/>
          <w:szCs w:val="22"/>
        </w:rPr>
        <w:t>.</w:t>
      </w:r>
    </w:p>
    <w:p w14:paraId="05E241D9" w14:textId="324C768A" w:rsidR="005C1711" w:rsidRPr="00157E45" w:rsidRDefault="001802A8" w:rsidP="00DD6657">
      <w:pPr>
        <w:pStyle w:val="ListParagraph"/>
        <w:numPr>
          <w:ilvl w:val="0"/>
          <w:numId w:val="4"/>
        </w:numPr>
        <w:rPr>
          <w:rFonts w:ascii="Arial" w:hAnsi="Arial" w:cs="Arial"/>
          <w:sz w:val="22"/>
          <w:szCs w:val="22"/>
        </w:rPr>
      </w:pPr>
      <w:r w:rsidRPr="00157E45">
        <w:rPr>
          <w:rFonts w:ascii="Arial" w:hAnsi="Arial" w:cs="Arial"/>
          <w:sz w:val="22"/>
          <w:szCs w:val="22"/>
        </w:rPr>
        <w:t>International business forecasts have been downgraded with a recovery expected in 2028, reflecting changes in business practices post-pandemic and weaker global economic conditions. An estimated 368,900 business visitors are expected by 2029</w:t>
      </w:r>
      <w:r w:rsidR="005C1711" w:rsidRPr="00157E45">
        <w:rPr>
          <w:rFonts w:ascii="Arial" w:hAnsi="Arial" w:cs="Arial"/>
          <w:sz w:val="22"/>
          <w:szCs w:val="22"/>
        </w:rPr>
        <w:t>.</w:t>
      </w:r>
    </w:p>
    <w:p w14:paraId="1BE2FD15" w14:textId="3A6218E5" w:rsidR="005C1711" w:rsidRPr="00157E45" w:rsidRDefault="002E74A3" w:rsidP="00DD6657">
      <w:pPr>
        <w:pStyle w:val="ListParagraph"/>
        <w:numPr>
          <w:ilvl w:val="0"/>
          <w:numId w:val="4"/>
        </w:numPr>
        <w:rPr>
          <w:rFonts w:ascii="Arial" w:hAnsi="Arial" w:cs="Arial"/>
          <w:sz w:val="22"/>
          <w:szCs w:val="22"/>
        </w:rPr>
      </w:pPr>
      <w:r w:rsidRPr="00157E45">
        <w:rPr>
          <w:rFonts w:ascii="Arial" w:hAnsi="Arial" w:cs="Arial"/>
          <w:sz w:val="22"/>
          <w:szCs w:val="22"/>
        </w:rPr>
        <w:t xml:space="preserve">Forecast growth from the international education sector has been downgraded reflecting </w:t>
      </w:r>
      <w:r w:rsidR="00981315" w:rsidRPr="00157E45">
        <w:rPr>
          <w:rFonts w:ascii="Arial" w:hAnsi="Arial" w:cs="Arial"/>
          <w:sz w:val="22"/>
          <w:szCs w:val="22"/>
        </w:rPr>
        <w:t>po</w:t>
      </w:r>
      <w:r w:rsidR="00EC3186" w:rsidRPr="00157E45">
        <w:rPr>
          <w:rFonts w:ascii="Arial" w:hAnsi="Arial" w:cs="Arial"/>
          <w:sz w:val="22"/>
          <w:szCs w:val="22"/>
        </w:rPr>
        <w:t>tential changes to</w:t>
      </w:r>
      <w:r w:rsidRPr="00157E45">
        <w:rPr>
          <w:rFonts w:ascii="Arial" w:hAnsi="Arial" w:cs="Arial"/>
          <w:sz w:val="22"/>
          <w:szCs w:val="22"/>
        </w:rPr>
        <w:t xml:space="preserve"> international student visa policies. Victoria is projected to receive 267,800 student arrivals by 2029</w:t>
      </w:r>
      <w:r w:rsidR="005C1711" w:rsidRPr="00157E45">
        <w:rPr>
          <w:rFonts w:ascii="Arial" w:hAnsi="Arial" w:cs="Arial"/>
          <w:sz w:val="22"/>
          <w:szCs w:val="22"/>
        </w:rPr>
        <w:t>.</w:t>
      </w:r>
    </w:p>
    <w:p w14:paraId="0A89B178" w14:textId="59EA0D4E" w:rsidR="007E487A" w:rsidRPr="00157E45" w:rsidRDefault="008F2ABF" w:rsidP="0085353B">
      <w:pPr>
        <w:pStyle w:val="Heading2"/>
        <w:spacing w:before="80" w:line="240" w:lineRule="auto"/>
        <w:rPr>
          <w:rFonts w:ascii="Arial" w:hAnsi="Arial" w:cs="Arial"/>
          <w:color w:val="002060"/>
        </w:rPr>
      </w:pPr>
      <w:bookmarkStart w:id="54" w:name="_Toc184116534"/>
      <w:r w:rsidRPr="00157E45">
        <w:rPr>
          <w:rFonts w:ascii="Arial" w:hAnsi="Arial" w:cs="Arial"/>
          <w:color w:val="002060"/>
        </w:rPr>
        <w:t xml:space="preserve">10.1 </w:t>
      </w:r>
      <w:r w:rsidR="007E487A" w:rsidRPr="00157E45">
        <w:rPr>
          <w:rFonts w:ascii="Arial" w:hAnsi="Arial" w:cs="Arial"/>
          <w:color w:val="002060"/>
        </w:rPr>
        <w:t xml:space="preserve">Data table: Forecast growth rates for international visitors </w:t>
      </w:r>
      <w:r w:rsidR="00306F9A" w:rsidRPr="00157E45">
        <w:rPr>
          <w:rFonts w:ascii="Arial" w:hAnsi="Arial" w:cs="Arial"/>
          <w:color w:val="002060"/>
        </w:rPr>
        <w:t xml:space="preserve">to </w:t>
      </w:r>
      <w:r w:rsidR="007E487A" w:rsidRPr="00157E45">
        <w:rPr>
          <w:rFonts w:ascii="Arial" w:hAnsi="Arial" w:cs="Arial"/>
          <w:color w:val="002060"/>
        </w:rPr>
        <w:t>Victoria by purpose</w:t>
      </w:r>
      <w:bookmarkEnd w:id="54"/>
    </w:p>
    <w:p w14:paraId="484CEC3B" w14:textId="16F25480" w:rsidR="004B2BFA" w:rsidRPr="00157E45" w:rsidRDefault="004B2BFA" w:rsidP="0085353B">
      <w:pPr>
        <w:spacing w:before="120" w:after="120" w:line="240" w:lineRule="auto"/>
        <w:rPr>
          <w:rFonts w:ascii="Arial" w:hAnsi="Arial" w:cs="Arial"/>
          <w:sz w:val="22"/>
          <w:szCs w:val="22"/>
        </w:rPr>
      </w:pPr>
      <w:r w:rsidRPr="00157E45">
        <w:rPr>
          <w:rFonts w:ascii="Arial" w:hAnsi="Arial" w:cs="Arial"/>
          <w:sz w:val="22"/>
          <w:szCs w:val="22"/>
        </w:rPr>
        <w:t xml:space="preserve">For each international purpose segment, the table below provides the estimated visitor growth rate </w:t>
      </w:r>
      <w:r w:rsidR="005E0126" w:rsidRPr="00157E45">
        <w:rPr>
          <w:rFonts w:ascii="Arial" w:hAnsi="Arial" w:cs="Arial"/>
          <w:sz w:val="22"/>
          <w:szCs w:val="22"/>
        </w:rPr>
        <w:t xml:space="preserve">from </w:t>
      </w:r>
      <w:r w:rsidR="00AF22E8" w:rsidRPr="00157E45">
        <w:rPr>
          <w:rFonts w:ascii="Arial" w:hAnsi="Arial" w:cs="Arial"/>
          <w:sz w:val="22"/>
          <w:szCs w:val="22"/>
        </w:rPr>
        <w:t>2024</w:t>
      </w:r>
      <w:r w:rsidR="005E0126" w:rsidRPr="00157E45">
        <w:rPr>
          <w:rFonts w:ascii="Arial" w:hAnsi="Arial" w:cs="Arial"/>
          <w:sz w:val="22"/>
          <w:szCs w:val="22"/>
        </w:rPr>
        <w:t xml:space="preserve"> </w:t>
      </w:r>
      <w:r w:rsidR="001D2327" w:rsidRPr="00157E45">
        <w:rPr>
          <w:rFonts w:ascii="Arial" w:hAnsi="Arial" w:cs="Arial"/>
          <w:sz w:val="22"/>
          <w:szCs w:val="22"/>
        </w:rPr>
        <w:t>to 202</w:t>
      </w:r>
      <w:r w:rsidR="00451CE9" w:rsidRPr="00157E45">
        <w:rPr>
          <w:rFonts w:ascii="Arial" w:hAnsi="Arial" w:cs="Arial"/>
          <w:sz w:val="22"/>
          <w:szCs w:val="22"/>
        </w:rPr>
        <w:t>5</w:t>
      </w:r>
      <w:r w:rsidRPr="00157E45">
        <w:rPr>
          <w:rFonts w:ascii="Arial" w:hAnsi="Arial" w:cs="Arial"/>
          <w:sz w:val="22"/>
          <w:szCs w:val="22"/>
        </w:rPr>
        <w:t xml:space="preserve"> and the forecast average annual visitor growth rate from </w:t>
      </w:r>
      <w:r w:rsidR="00AF22E8" w:rsidRPr="00157E45">
        <w:rPr>
          <w:rFonts w:ascii="Arial" w:hAnsi="Arial" w:cs="Arial"/>
          <w:sz w:val="22"/>
          <w:szCs w:val="22"/>
        </w:rPr>
        <w:t>2024</w:t>
      </w:r>
      <w:r w:rsidRPr="00157E45">
        <w:rPr>
          <w:rFonts w:ascii="Arial" w:hAnsi="Arial" w:cs="Arial"/>
          <w:sz w:val="22"/>
          <w:szCs w:val="22"/>
        </w:rPr>
        <w:t xml:space="preserve"> to </w:t>
      </w:r>
      <w:r w:rsidR="00AF22E8" w:rsidRPr="00157E45">
        <w:rPr>
          <w:rFonts w:ascii="Arial" w:hAnsi="Arial" w:cs="Arial"/>
          <w:sz w:val="22"/>
          <w:szCs w:val="22"/>
        </w:rPr>
        <w:t>2029</w:t>
      </w:r>
      <w:r w:rsidRPr="00157E45">
        <w:rPr>
          <w:rFonts w:ascii="Arial" w:hAnsi="Arial" w:cs="Arial"/>
          <w:sz w:val="22"/>
          <w:szCs w:val="22"/>
        </w:rPr>
        <w:t>.</w:t>
      </w:r>
    </w:p>
    <w:tbl>
      <w:tblPr>
        <w:tblStyle w:val="TableGrid"/>
        <w:tblW w:w="9067" w:type="dxa"/>
        <w:tblLook w:val="04A0" w:firstRow="1" w:lastRow="0" w:firstColumn="1" w:lastColumn="0" w:noHBand="0" w:noVBand="1"/>
      </w:tblPr>
      <w:tblGrid>
        <w:gridCol w:w="3397"/>
        <w:gridCol w:w="2268"/>
        <w:gridCol w:w="3402"/>
      </w:tblGrid>
      <w:tr w:rsidR="007E487A" w:rsidRPr="00157E45" w14:paraId="4C50B255" w14:textId="77777777" w:rsidTr="009F0C9C">
        <w:trPr>
          <w:trHeight w:val="576"/>
          <w:tblHeader/>
        </w:trPr>
        <w:tc>
          <w:tcPr>
            <w:tcW w:w="3397" w:type="dxa"/>
            <w:shd w:val="clear" w:color="auto" w:fill="D9D9D9" w:themeFill="background1" w:themeFillShade="D9"/>
          </w:tcPr>
          <w:p w14:paraId="5F6A0BBA" w14:textId="77777777" w:rsidR="007E487A" w:rsidRPr="00157E45" w:rsidRDefault="007E487A" w:rsidP="00494B73">
            <w:pPr>
              <w:spacing w:after="120" w:line="240" w:lineRule="auto"/>
              <w:rPr>
                <w:rFonts w:ascii="Arial" w:hAnsi="Arial" w:cs="Arial"/>
                <w:b/>
                <w:bCs/>
                <w:color w:val="000000" w:themeColor="text1"/>
                <w:sz w:val="22"/>
                <w:szCs w:val="22"/>
              </w:rPr>
            </w:pPr>
            <w:bookmarkStart w:id="55" w:name="Title_12" w:colFirst="0" w:colLast="0"/>
            <w:r w:rsidRPr="00157E45">
              <w:rPr>
                <w:rFonts w:ascii="Arial" w:hAnsi="Arial" w:cs="Arial"/>
                <w:b/>
                <w:bCs/>
                <w:color w:val="000000" w:themeColor="text1"/>
                <w:sz w:val="22"/>
                <w:szCs w:val="22"/>
              </w:rPr>
              <w:t>Visitor type</w:t>
            </w:r>
          </w:p>
        </w:tc>
        <w:tc>
          <w:tcPr>
            <w:tcW w:w="2268" w:type="dxa"/>
            <w:shd w:val="clear" w:color="auto" w:fill="D9D9D9" w:themeFill="background1" w:themeFillShade="D9"/>
          </w:tcPr>
          <w:p w14:paraId="0250D530" w14:textId="147DED1E" w:rsidR="007E487A" w:rsidRPr="00157E45" w:rsidRDefault="007E487A"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Growth rate</w:t>
            </w:r>
            <w:r w:rsidR="00520613" w:rsidRPr="00157E45">
              <w:rPr>
                <w:rFonts w:ascii="Arial" w:hAnsi="Arial" w:cs="Arial"/>
                <w:b/>
                <w:bCs/>
                <w:color w:val="000000" w:themeColor="text1"/>
                <w:sz w:val="22"/>
                <w:szCs w:val="22"/>
              </w:rPr>
              <w:t xml:space="preserve"> from </w:t>
            </w:r>
            <w:r w:rsidR="00AF22E8" w:rsidRPr="00157E45">
              <w:rPr>
                <w:rFonts w:ascii="Arial" w:hAnsi="Arial" w:cs="Arial"/>
                <w:b/>
                <w:bCs/>
                <w:color w:val="000000" w:themeColor="text1"/>
                <w:sz w:val="22"/>
                <w:szCs w:val="22"/>
              </w:rPr>
              <w:t>2024</w:t>
            </w:r>
            <w:r w:rsidRPr="00157E45">
              <w:rPr>
                <w:rFonts w:ascii="Arial" w:hAnsi="Arial" w:cs="Arial"/>
                <w:b/>
                <w:bCs/>
                <w:color w:val="000000" w:themeColor="text1"/>
                <w:sz w:val="22"/>
                <w:szCs w:val="22"/>
              </w:rPr>
              <w:t xml:space="preserve"> to 202</w:t>
            </w:r>
            <w:r w:rsidR="002F4CBD" w:rsidRPr="00157E45">
              <w:rPr>
                <w:rFonts w:ascii="Arial" w:hAnsi="Arial" w:cs="Arial"/>
                <w:b/>
                <w:bCs/>
                <w:color w:val="000000" w:themeColor="text1"/>
                <w:sz w:val="22"/>
                <w:szCs w:val="22"/>
              </w:rPr>
              <w:t>5</w:t>
            </w:r>
          </w:p>
        </w:tc>
        <w:tc>
          <w:tcPr>
            <w:tcW w:w="3402" w:type="dxa"/>
            <w:shd w:val="clear" w:color="auto" w:fill="D9D9D9" w:themeFill="background1" w:themeFillShade="D9"/>
          </w:tcPr>
          <w:p w14:paraId="720F3427" w14:textId="1946E331" w:rsidR="007E487A" w:rsidRPr="00157E45" w:rsidRDefault="007E487A" w:rsidP="00494B73">
            <w:pPr>
              <w:spacing w:after="120" w:line="240" w:lineRule="auto"/>
              <w:rPr>
                <w:rFonts w:ascii="Arial" w:hAnsi="Arial" w:cs="Arial"/>
                <w:b/>
                <w:bCs/>
                <w:color w:val="000000" w:themeColor="text1"/>
                <w:sz w:val="22"/>
                <w:szCs w:val="22"/>
              </w:rPr>
            </w:pPr>
            <w:r w:rsidRPr="00157E45">
              <w:rPr>
                <w:rFonts w:ascii="Arial" w:hAnsi="Arial" w:cs="Arial"/>
                <w:b/>
                <w:bCs/>
                <w:color w:val="000000" w:themeColor="text1"/>
                <w:sz w:val="22"/>
                <w:szCs w:val="22"/>
              </w:rPr>
              <w:t xml:space="preserve">Average annual growth rate from </w:t>
            </w:r>
            <w:r w:rsidR="00AF22E8" w:rsidRPr="00157E45">
              <w:rPr>
                <w:rFonts w:ascii="Arial" w:hAnsi="Arial" w:cs="Arial"/>
                <w:b/>
                <w:bCs/>
                <w:color w:val="000000" w:themeColor="text1"/>
                <w:sz w:val="22"/>
                <w:szCs w:val="22"/>
              </w:rPr>
              <w:t>2024</w:t>
            </w:r>
            <w:r w:rsidRPr="00157E45">
              <w:rPr>
                <w:rFonts w:ascii="Arial" w:hAnsi="Arial" w:cs="Arial"/>
                <w:b/>
                <w:bCs/>
                <w:color w:val="000000" w:themeColor="text1"/>
                <w:sz w:val="22"/>
                <w:szCs w:val="22"/>
              </w:rPr>
              <w:t xml:space="preserve"> to </w:t>
            </w:r>
            <w:r w:rsidR="00AF22E8" w:rsidRPr="00157E45">
              <w:rPr>
                <w:rFonts w:ascii="Arial" w:hAnsi="Arial" w:cs="Arial"/>
                <w:b/>
                <w:bCs/>
                <w:color w:val="000000" w:themeColor="text1"/>
                <w:sz w:val="22"/>
                <w:szCs w:val="22"/>
              </w:rPr>
              <w:t>2029</w:t>
            </w:r>
          </w:p>
        </w:tc>
      </w:tr>
      <w:bookmarkEnd w:id="55"/>
      <w:tr w:rsidR="00AD4E2B" w:rsidRPr="00157E45" w14:paraId="09BBC410" w14:textId="77777777" w:rsidTr="009F0C9C">
        <w:trPr>
          <w:tblHeader/>
        </w:trPr>
        <w:tc>
          <w:tcPr>
            <w:tcW w:w="3397" w:type="dxa"/>
          </w:tcPr>
          <w:p w14:paraId="4ED64284" w14:textId="76ED1BF3"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Total international visitors</w:t>
            </w:r>
          </w:p>
        </w:tc>
        <w:tc>
          <w:tcPr>
            <w:tcW w:w="2268" w:type="dxa"/>
          </w:tcPr>
          <w:p w14:paraId="0CC2A16A" w14:textId="7060FAEB"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11.8%</w:t>
            </w:r>
          </w:p>
        </w:tc>
        <w:tc>
          <w:tcPr>
            <w:tcW w:w="3402" w:type="dxa"/>
          </w:tcPr>
          <w:p w14:paraId="21B722B8" w14:textId="0D6D9A04"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7.6% per annum</w:t>
            </w:r>
          </w:p>
        </w:tc>
      </w:tr>
      <w:tr w:rsidR="00AD4E2B" w:rsidRPr="00157E45" w14:paraId="4CF47AA7" w14:textId="77777777" w:rsidTr="009F0C9C">
        <w:tc>
          <w:tcPr>
            <w:tcW w:w="3397" w:type="dxa"/>
          </w:tcPr>
          <w:p w14:paraId="035D5DC7" w14:textId="00348CD6"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Holiday visitors</w:t>
            </w:r>
          </w:p>
        </w:tc>
        <w:tc>
          <w:tcPr>
            <w:tcW w:w="2268" w:type="dxa"/>
          </w:tcPr>
          <w:p w14:paraId="2FE3451B" w14:textId="7AD84891"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15.0%</w:t>
            </w:r>
          </w:p>
        </w:tc>
        <w:tc>
          <w:tcPr>
            <w:tcW w:w="3402" w:type="dxa"/>
          </w:tcPr>
          <w:p w14:paraId="3CDEDDEC" w14:textId="43270C7B"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9.1% per annum</w:t>
            </w:r>
          </w:p>
        </w:tc>
      </w:tr>
      <w:tr w:rsidR="00AD4E2B" w:rsidRPr="00157E45" w14:paraId="6BE9F58E" w14:textId="77777777" w:rsidTr="009F0C9C">
        <w:tc>
          <w:tcPr>
            <w:tcW w:w="3397" w:type="dxa"/>
          </w:tcPr>
          <w:p w14:paraId="5A12434A" w14:textId="7B0B95FA"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lastRenderedPageBreak/>
              <w:t>Visiting friends and relatives visitors</w:t>
            </w:r>
          </w:p>
        </w:tc>
        <w:tc>
          <w:tcPr>
            <w:tcW w:w="2268" w:type="dxa"/>
          </w:tcPr>
          <w:p w14:paraId="09AC59EF" w14:textId="73F3EB00"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6.4%</w:t>
            </w:r>
          </w:p>
        </w:tc>
        <w:tc>
          <w:tcPr>
            <w:tcW w:w="3402" w:type="dxa"/>
          </w:tcPr>
          <w:p w14:paraId="3402D674" w14:textId="194B5608"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4.6% per annum</w:t>
            </w:r>
          </w:p>
        </w:tc>
      </w:tr>
      <w:tr w:rsidR="00AD4E2B" w:rsidRPr="00157E45" w14:paraId="0A0228BD" w14:textId="77777777" w:rsidTr="009F0C9C">
        <w:tc>
          <w:tcPr>
            <w:tcW w:w="3397" w:type="dxa"/>
          </w:tcPr>
          <w:p w14:paraId="097E4B7D" w14:textId="0685866B"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Business visitors</w:t>
            </w:r>
          </w:p>
        </w:tc>
        <w:tc>
          <w:tcPr>
            <w:tcW w:w="2268" w:type="dxa"/>
          </w:tcPr>
          <w:p w14:paraId="4D22BA79" w14:textId="5179B815"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12.0%</w:t>
            </w:r>
          </w:p>
        </w:tc>
        <w:tc>
          <w:tcPr>
            <w:tcW w:w="3402" w:type="dxa"/>
          </w:tcPr>
          <w:p w14:paraId="48589969" w14:textId="23CE16D4"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8.3% per annum</w:t>
            </w:r>
          </w:p>
        </w:tc>
      </w:tr>
      <w:tr w:rsidR="00AD4E2B" w:rsidRPr="00157E45" w14:paraId="620B8D5C" w14:textId="77777777" w:rsidTr="009F0C9C">
        <w:tc>
          <w:tcPr>
            <w:tcW w:w="3397" w:type="dxa"/>
          </w:tcPr>
          <w:p w14:paraId="0FE19B1A" w14:textId="4B827CA1"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Education visitors</w:t>
            </w:r>
          </w:p>
        </w:tc>
        <w:tc>
          <w:tcPr>
            <w:tcW w:w="2268" w:type="dxa"/>
          </w:tcPr>
          <w:p w14:paraId="5D07F003" w14:textId="6D48E73B"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11.6%</w:t>
            </w:r>
          </w:p>
        </w:tc>
        <w:tc>
          <w:tcPr>
            <w:tcW w:w="3402" w:type="dxa"/>
          </w:tcPr>
          <w:p w14:paraId="148F8C71" w14:textId="42C27ED3"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7.4% per annum</w:t>
            </w:r>
          </w:p>
        </w:tc>
      </w:tr>
      <w:tr w:rsidR="00AD4E2B" w:rsidRPr="00157E45" w14:paraId="17D1C122" w14:textId="77777777" w:rsidTr="009F0C9C">
        <w:tc>
          <w:tcPr>
            <w:tcW w:w="3397" w:type="dxa"/>
          </w:tcPr>
          <w:p w14:paraId="65EFB683" w14:textId="67F40A72"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Employment visitors</w:t>
            </w:r>
          </w:p>
        </w:tc>
        <w:tc>
          <w:tcPr>
            <w:tcW w:w="2268" w:type="dxa"/>
          </w:tcPr>
          <w:p w14:paraId="3839B59A" w14:textId="24C4B2A5"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8.6%</w:t>
            </w:r>
          </w:p>
        </w:tc>
        <w:tc>
          <w:tcPr>
            <w:tcW w:w="3402" w:type="dxa"/>
          </w:tcPr>
          <w:p w14:paraId="18F8B202" w14:textId="150F1943"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5.1% per annum</w:t>
            </w:r>
          </w:p>
        </w:tc>
      </w:tr>
      <w:tr w:rsidR="00AD4E2B" w:rsidRPr="00157E45" w14:paraId="4BA3D146" w14:textId="77777777" w:rsidTr="009F0C9C">
        <w:tc>
          <w:tcPr>
            <w:tcW w:w="3397" w:type="dxa"/>
          </w:tcPr>
          <w:p w14:paraId="3EF02662" w14:textId="1841AF14"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Other visitors</w:t>
            </w:r>
          </w:p>
        </w:tc>
        <w:tc>
          <w:tcPr>
            <w:tcW w:w="2268" w:type="dxa"/>
          </w:tcPr>
          <w:p w14:paraId="1DFD6142" w14:textId="6A33103D"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7.7%</w:t>
            </w:r>
          </w:p>
        </w:tc>
        <w:tc>
          <w:tcPr>
            <w:tcW w:w="3402" w:type="dxa"/>
          </w:tcPr>
          <w:p w14:paraId="1C88EAC9" w14:textId="2A2DD22F" w:rsidR="00AD4E2B" w:rsidRPr="00157E45" w:rsidRDefault="00AD4E2B" w:rsidP="00AD4E2B">
            <w:pPr>
              <w:spacing w:after="120" w:line="240" w:lineRule="auto"/>
              <w:rPr>
                <w:rFonts w:ascii="Arial" w:hAnsi="Arial" w:cs="Arial"/>
                <w:color w:val="000000" w:themeColor="text1"/>
                <w:sz w:val="22"/>
                <w:szCs w:val="22"/>
              </w:rPr>
            </w:pPr>
            <w:r w:rsidRPr="00157E45">
              <w:rPr>
                <w:rFonts w:ascii="Arial" w:hAnsi="Arial" w:cs="Arial"/>
                <w:color w:val="000000" w:themeColor="text1"/>
                <w:sz w:val="22"/>
                <w:szCs w:val="22"/>
              </w:rPr>
              <w:t>Increase of 4.5% per annum</w:t>
            </w:r>
          </w:p>
        </w:tc>
      </w:tr>
    </w:tbl>
    <w:p w14:paraId="3698A24F" w14:textId="24DAE697" w:rsidR="00D95B3B" w:rsidRPr="00157E45" w:rsidRDefault="00D95B3B" w:rsidP="00D95B3B">
      <w:pPr>
        <w:pStyle w:val="Default"/>
        <w:rPr>
          <w:rFonts w:ascii="Arial" w:eastAsiaTheme="minorEastAsia" w:hAnsi="Arial" w:cs="Arial"/>
          <w:color w:val="auto"/>
          <w:sz w:val="21"/>
          <w:szCs w:val="21"/>
        </w:rPr>
      </w:pPr>
      <w:r w:rsidRPr="00157E45">
        <w:rPr>
          <w:rFonts w:ascii="Arial" w:eastAsiaTheme="minorEastAsia" w:hAnsi="Arial" w:cs="Arial"/>
          <w:color w:val="auto"/>
          <w:sz w:val="21"/>
          <w:szCs w:val="21"/>
        </w:rPr>
        <w:t>To note: total international visitor growth rates for Victoria differ to the national growth rates published by TRA due to Victoria’s underlying shares of visitor types and how they aggregate.</w:t>
      </w:r>
    </w:p>
    <w:p w14:paraId="19257174" w14:textId="27A1B1C2" w:rsidR="003B56E8" w:rsidRPr="00157E45" w:rsidRDefault="008F2ABF" w:rsidP="00287D79">
      <w:pPr>
        <w:pStyle w:val="Heading1"/>
        <w:rPr>
          <w:rFonts w:ascii="Arial" w:hAnsi="Arial" w:cs="Arial"/>
        </w:rPr>
      </w:pPr>
      <w:bookmarkStart w:id="56" w:name="_Toc184116535"/>
      <w:r w:rsidRPr="00157E45">
        <w:rPr>
          <w:rFonts w:ascii="Arial" w:hAnsi="Arial" w:cs="Arial"/>
        </w:rPr>
        <w:t xml:space="preserve">11.0 </w:t>
      </w:r>
      <w:r w:rsidR="00287D79" w:rsidRPr="00157E45">
        <w:rPr>
          <w:rFonts w:ascii="Arial" w:hAnsi="Arial" w:cs="Arial"/>
        </w:rPr>
        <w:t>Key factors influencing forecast growth</w:t>
      </w:r>
      <w:bookmarkEnd w:id="56"/>
    </w:p>
    <w:p w14:paraId="7A4A4F1A" w14:textId="77777777" w:rsidR="00E83C49" w:rsidRPr="00157E45" w:rsidRDefault="00E83C49" w:rsidP="00287D79">
      <w:pPr>
        <w:rPr>
          <w:rFonts w:ascii="Arial" w:hAnsi="Arial" w:cs="Arial"/>
          <w:sz w:val="4"/>
          <w:szCs w:val="4"/>
        </w:rPr>
      </w:pPr>
    </w:p>
    <w:p w14:paraId="5C6DA7A6" w14:textId="4B36398A" w:rsidR="0051625B" w:rsidRPr="00157E45" w:rsidRDefault="00EF0216" w:rsidP="00287D79">
      <w:pPr>
        <w:rPr>
          <w:rFonts w:ascii="Arial" w:hAnsi="Arial" w:cs="Arial"/>
        </w:rPr>
      </w:pPr>
      <w:r w:rsidRPr="00157E45">
        <w:rPr>
          <w:rFonts w:ascii="Arial" w:hAnsi="Arial" w:cs="Arial"/>
        </w:rPr>
        <w:t xml:space="preserve">Tourism has a positive growth </w:t>
      </w:r>
      <w:r w:rsidR="006220CB" w:rsidRPr="00157E45">
        <w:rPr>
          <w:rFonts w:ascii="Arial" w:hAnsi="Arial" w:cs="Arial"/>
        </w:rPr>
        <w:t>outlook;</w:t>
      </w:r>
      <w:r w:rsidRPr="00157E45">
        <w:rPr>
          <w:rFonts w:ascii="Arial" w:hAnsi="Arial" w:cs="Arial"/>
        </w:rPr>
        <w:t xml:space="preserve"> </w:t>
      </w:r>
      <w:r w:rsidR="00EE5FB9" w:rsidRPr="00157E45">
        <w:rPr>
          <w:rFonts w:ascii="Arial" w:hAnsi="Arial" w:cs="Arial"/>
        </w:rPr>
        <w:t>however,</w:t>
      </w:r>
      <w:r w:rsidRPr="00157E45">
        <w:rPr>
          <w:rFonts w:ascii="Arial" w:hAnsi="Arial" w:cs="Arial"/>
        </w:rPr>
        <w:t xml:space="preserve"> the forecast has been revised downward influenced by issues including global economic headwinds, geopolitical tensions, changes to consumer sentiment and </w:t>
      </w:r>
      <w:r w:rsidR="0017588C" w:rsidRPr="00157E45">
        <w:rPr>
          <w:rFonts w:ascii="Arial" w:hAnsi="Arial" w:cs="Arial"/>
        </w:rPr>
        <w:t xml:space="preserve">potential </w:t>
      </w:r>
      <w:r w:rsidRPr="00157E45">
        <w:rPr>
          <w:rFonts w:ascii="Arial" w:hAnsi="Arial" w:cs="Arial"/>
        </w:rPr>
        <w:t>policy shifts</w:t>
      </w:r>
      <w:r w:rsidR="0051625B" w:rsidRPr="00157E45">
        <w:rPr>
          <w:rFonts w:ascii="Arial" w:hAnsi="Arial" w:cs="Arial"/>
        </w:rPr>
        <w:t>.</w:t>
      </w:r>
    </w:p>
    <w:p w14:paraId="2D734207" w14:textId="379C0465" w:rsidR="00CF2288" w:rsidRPr="00157E45" w:rsidRDefault="00287D79" w:rsidP="00F46E8C">
      <w:pPr>
        <w:pStyle w:val="ListParagraph"/>
        <w:numPr>
          <w:ilvl w:val="0"/>
          <w:numId w:val="12"/>
        </w:numPr>
        <w:rPr>
          <w:rFonts w:ascii="Arial" w:hAnsi="Arial" w:cs="Arial"/>
        </w:rPr>
      </w:pPr>
      <w:r w:rsidRPr="00157E45">
        <w:rPr>
          <w:rFonts w:ascii="Arial" w:hAnsi="Arial" w:cs="Arial"/>
          <w:b/>
          <w:bCs/>
        </w:rPr>
        <w:t>Economic conditions</w:t>
      </w:r>
      <w:r w:rsidR="00E94637" w:rsidRPr="00157E45">
        <w:rPr>
          <w:rFonts w:ascii="Arial" w:hAnsi="Arial" w:cs="Arial"/>
        </w:rPr>
        <w:t>:</w:t>
      </w:r>
      <w:r w:rsidR="00A252D3" w:rsidRPr="00157E45">
        <w:rPr>
          <w:rFonts w:ascii="Arial" w:hAnsi="Arial" w:cs="Arial"/>
        </w:rPr>
        <w:t xml:space="preserve"> </w:t>
      </w:r>
      <w:r w:rsidR="00D3524B" w:rsidRPr="00157E45">
        <w:rPr>
          <w:rFonts w:ascii="Arial" w:hAnsi="Arial" w:cs="Arial"/>
        </w:rPr>
        <w:t>Tourism demand may be dampened by prolonged economic uncertainty, marked by sluggish growth. Cost-of-living pressures are expected to further curb discretionary spending in the short-term, especially in the domestic market, as households prioritise essential expenses over leisure activities due to depleted savings</w:t>
      </w:r>
      <w:r w:rsidR="003661C0" w:rsidRPr="00157E45">
        <w:rPr>
          <w:rFonts w:ascii="Arial" w:hAnsi="Arial" w:cs="Arial"/>
        </w:rPr>
        <w:t>.</w:t>
      </w:r>
    </w:p>
    <w:p w14:paraId="27B1D94A" w14:textId="6EB79677" w:rsidR="00287D79" w:rsidRPr="00157E45" w:rsidRDefault="00EA70D1" w:rsidP="00F46E8C">
      <w:pPr>
        <w:pStyle w:val="ListParagraph"/>
        <w:numPr>
          <w:ilvl w:val="0"/>
          <w:numId w:val="12"/>
        </w:numPr>
        <w:rPr>
          <w:rFonts w:ascii="Arial" w:hAnsi="Arial" w:cs="Arial"/>
        </w:rPr>
      </w:pPr>
      <w:r w:rsidRPr="00157E45">
        <w:rPr>
          <w:rFonts w:ascii="Arial" w:hAnsi="Arial" w:cs="Arial"/>
          <w:b/>
          <w:bCs/>
        </w:rPr>
        <w:t>Geopolitical environment</w:t>
      </w:r>
      <w:r w:rsidR="00E94637" w:rsidRPr="00157E45">
        <w:rPr>
          <w:rFonts w:ascii="Arial" w:hAnsi="Arial" w:cs="Arial"/>
        </w:rPr>
        <w:t>:</w:t>
      </w:r>
      <w:r w:rsidR="00816EAA" w:rsidRPr="00157E45">
        <w:rPr>
          <w:rFonts w:ascii="Arial" w:hAnsi="Arial" w:cs="Arial"/>
        </w:rPr>
        <w:t xml:space="preserve"> </w:t>
      </w:r>
      <w:r w:rsidR="006F47EC" w:rsidRPr="00157E45">
        <w:rPr>
          <w:rFonts w:ascii="Arial" w:hAnsi="Arial" w:cs="Arial"/>
        </w:rPr>
        <w:t xml:space="preserve">Heightened geopolitical tensions, including escalating conflicts in Ukraine and the Middle East, could disrupt air travel and </w:t>
      </w:r>
      <w:r w:rsidR="00D3185E" w:rsidRPr="00157E45">
        <w:rPr>
          <w:rFonts w:ascii="Arial" w:hAnsi="Arial" w:cs="Arial"/>
        </w:rPr>
        <w:t>drive-up</w:t>
      </w:r>
      <w:r w:rsidR="006F47EC" w:rsidRPr="00157E45">
        <w:rPr>
          <w:rFonts w:ascii="Arial" w:hAnsi="Arial" w:cs="Arial"/>
        </w:rPr>
        <w:t xml:space="preserve"> fuel costs and undermine confidence to travel internationally. Global instability may also affect bilateral relationships, potentially altering consumer behaviour</w:t>
      </w:r>
      <w:r w:rsidR="0094279A" w:rsidRPr="00157E45">
        <w:rPr>
          <w:rFonts w:ascii="Arial" w:hAnsi="Arial" w:cs="Arial"/>
        </w:rPr>
        <w:t>.</w:t>
      </w:r>
    </w:p>
    <w:p w14:paraId="3E5C81D2" w14:textId="186FCC4F" w:rsidR="00CF2288" w:rsidRPr="00157E45" w:rsidRDefault="00CF2288" w:rsidP="00F46E8C">
      <w:pPr>
        <w:pStyle w:val="ListParagraph"/>
        <w:numPr>
          <w:ilvl w:val="0"/>
          <w:numId w:val="12"/>
        </w:numPr>
        <w:rPr>
          <w:rFonts w:ascii="Arial" w:hAnsi="Arial" w:cs="Arial"/>
        </w:rPr>
      </w:pPr>
      <w:r w:rsidRPr="00157E45">
        <w:rPr>
          <w:rFonts w:ascii="Arial" w:hAnsi="Arial" w:cs="Arial"/>
          <w:b/>
          <w:bCs/>
        </w:rPr>
        <w:t>Consumer sentiment</w:t>
      </w:r>
      <w:r w:rsidR="00816EAA" w:rsidRPr="00157E45">
        <w:rPr>
          <w:rFonts w:ascii="Arial" w:hAnsi="Arial" w:cs="Arial"/>
        </w:rPr>
        <w:t xml:space="preserve">: </w:t>
      </w:r>
      <w:r w:rsidR="00FD5110" w:rsidRPr="00157E45">
        <w:rPr>
          <w:rFonts w:ascii="Arial" w:hAnsi="Arial" w:cs="Arial"/>
        </w:rPr>
        <w:t xml:space="preserve">A growing preference among some domestic travellers to explore overseas options could dampen domestic travel demand if outbound travel becomes more </w:t>
      </w:r>
      <w:r w:rsidR="00D3185E" w:rsidRPr="00157E45">
        <w:rPr>
          <w:rFonts w:ascii="Arial" w:hAnsi="Arial" w:cs="Arial"/>
        </w:rPr>
        <w:t>cost competitive</w:t>
      </w:r>
      <w:r w:rsidR="00FD5110" w:rsidRPr="00157E45">
        <w:rPr>
          <w:rFonts w:ascii="Arial" w:hAnsi="Arial" w:cs="Arial"/>
        </w:rPr>
        <w:t>. However</w:t>
      </w:r>
      <w:r w:rsidR="00D3185E" w:rsidRPr="00157E45">
        <w:rPr>
          <w:rFonts w:ascii="Arial" w:hAnsi="Arial" w:cs="Arial"/>
        </w:rPr>
        <w:t>,</w:t>
      </w:r>
      <w:r w:rsidR="00FD5110" w:rsidRPr="00157E45">
        <w:rPr>
          <w:rFonts w:ascii="Arial" w:hAnsi="Arial" w:cs="Arial"/>
        </w:rPr>
        <w:t xml:space="preserve"> Australia’s strong reputation as a safe and aspirational destination is expected to continue to drive inbound growth, supported by its close ties with rapidly expanding markets in Asia</w:t>
      </w:r>
      <w:r w:rsidR="00DE6B97" w:rsidRPr="00157E45">
        <w:rPr>
          <w:rFonts w:ascii="Arial" w:hAnsi="Arial" w:cs="Arial"/>
        </w:rPr>
        <w:t>.</w:t>
      </w:r>
    </w:p>
    <w:p w14:paraId="215F7C87" w14:textId="562A21C9" w:rsidR="002938AC" w:rsidRPr="00157E45" w:rsidRDefault="002F4160" w:rsidP="00F46E8C">
      <w:pPr>
        <w:pStyle w:val="ListParagraph"/>
        <w:numPr>
          <w:ilvl w:val="0"/>
          <w:numId w:val="12"/>
        </w:numPr>
        <w:rPr>
          <w:rFonts w:ascii="Arial" w:hAnsi="Arial" w:cs="Arial"/>
        </w:rPr>
      </w:pPr>
      <w:r w:rsidRPr="00157E45">
        <w:rPr>
          <w:rFonts w:ascii="Arial" w:hAnsi="Arial" w:cs="Arial"/>
          <w:b/>
          <w:bCs/>
        </w:rPr>
        <w:t>Policy shifts</w:t>
      </w:r>
      <w:r w:rsidR="00816EAA" w:rsidRPr="00157E45">
        <w:rPr>
          <w:rFonts w:ascii="Arial" w:hAnsi="Arial" w:cs="Arial"/>
        </w:rPr>
        <w:t>:</w:t>
      </w:r>
      <w:r w:rsidR="00CF2288" w:rsidRPr="00157E45">
        <w:rPr>
          <w:rFonts w:ascii="Arial" w:hAnsi="Arial" w:cs="Arial"/>
        </w:rPr>
        <w:t xml:space="preserve"> </w:t>
      </w:r>
      <w:r w:rsidRPr="00157E45">
        <w:rPr>
          <w:rFonts w:ascii="Arial" w:hAnsi="Arial" w:cs="Arial"/>
        </w:rPr>
        <w:t xml:space="preserve">Policy changes, including </w:t>
      </w:r>
      <w:r w:rsidR="0017588C" w:rsidRPr="00157E45">
        <w:rPr>
          <w:rFonts w:ascii="Arial" w:hAnsi="Arial" w:cs="Arial"/>
        </w:rPr>
        <w:t xml:space="preserve">potential </w:t>
      </w:r>
      <w:r w:rsidRPr="00157E45">
        <w:rPr>
          <w:rFonts w:ascii="Arial" w:hAnsi="Arial" w:cs="Arial"/>
        </w:rPr>
        <w:t>revisions to visa regulations or further adjustments to international student or employment programs, could significantly influence international travel demand. Policy shifts regarding carbon emission reductions in aviation may also impact the sector in the long-term</w:t>
      </w:r>
      <w:r w:rsidR="00EC1104" w:rsidRPr="00157E45">
        <w:rPr>
          <w:rFonts w:ascii="Arial" w:hAnsi="Arial" w:cs="Arial"/>
        </w:rPr>
        <w:t>.</w:t>
      </w:r>
    </w:p>
    <w:p w14:paraId="6840C2EC" w14:textId="628E3005" w:rsidR="002938AC" w:rsidRPr="00AF22E8" w:rsidRDefault="002F4CBD" w:rsidP="002938AC">
      <w:pPr>
        <w:pStyle w:val="Heading1"/>
        <w:rPr>
          <w:rFonts w:ascii="Arial" w:hAnsi="Arial" w:cs="Arial"/>
        </w:rPr>
      </w:pPr>
      <w:bookmarkStart w:id="57" w:name="_Toc184116536"/>
      <w:r>
        <w:rPr>
          <w:rFonts w:ascii="Arial" w:hAnsi="Arial" w:cs="Arial"/>
        </w:rPr>
        <w:t xml:space="preserve">12.0 </w:t>
      </w:r>
      <w:r w:rsidR="002938AC" w:rsidRPr="00AF22E8">
        <w:rPr>
          <w:rFonts w:ascii="Arial" w:hAnsi="Arial" w:cs="Arial"/>
        </w:rPr>
        <w:t>Data notes</w:t>
      </w:r>
      <w:bookmarkEnd w:id="57"/>
    </w:p>
    <w:p w14:paraId="6A26885E" w14:textId="77777777" w:rsidR="008C741D" w:rsidRPr="008C741D" w:rsidRDefault="008C741D" w:rsidP="008C741D">
      <w:pPr>
        <w:rPr>
          <w:sz w:val="4"/>
          <w:szCs w:val="4"/>
        </w:rPr>
      </w:pPr>
    </w:p>
    <w:p w14:paraId="3CA06CBE" w14:textId="6920B66C" w:rsidR="0033026C" w:rsidRPr="00AF22E8" w:rsidRDefault="000A4796" w:rsidP="00125826">
      <w:pPr>
        <w:pStyle w:val="ListParagraph"/>
        <w:numPr>
          <w:ilvl w:val="0"/>
          <w:numId w:val="6"/>
        </w:numPr>
        <w:rPr>
          <w:rFonts w:ascii="Arial" w:hAnsi="Arial" w:cs="Arial"/>
        </w:rPr>
      </w:pPr>
      <w:r w:rsidRPr="00AF22E8">
        <w:rPr>
          <w:rFonts w:ascii="Arial" w:hAnsi="Arial" w:cs="Arial"/>
        </w:rPr>
        <w:t xml:space="preserve">Data is based on Tourism forecasts for Australia: </w:t>
      </w:r>
      <w:r w:rsidR="00AF22E8">
        <w:rPr>
          <w:rFonts w:ascii="Arial" w:hAnsi="Arial" w:cs="Arial"/>
        </w:rPr>
        <w:t>2024</w:t>
      </w:r>
      <w:r w:rsidRPr="00AF22E8">
        <w:rPr>
          <w:rFonts w:ascii="Arial" w:hAnsi="Arial" w:cs="Arial"/>
        </w:rPr>
        <w:t xml:space="preserve"> to </w:t>
      </w:r>
      <w:r w:rsidR="00AF22E8">
        <w:rPr>
          <w:rFonts w:ascii="Arial" w:hAnsi="Arial" w:cs="Arial"/>
        </w:rPr>
        <w:t>2029</w:t>
      </w:r>
      <w:r w:rsidRPr="00AF22E8">
        <w:rPr>
          <w:rFonts w:ascii="Arial" w:hAnsi="Arial" w:cs="Arial"/>
        </w:rPr>
        <w:t>, Tourism Research Australia</w:t>
      </w:r>
      <w:r w:rsidR="009A7765">
        <w:rPr>
          <w:rFonts w:ascii="Arial" w:hAnsi="Arial" w:cs="Arial"/>
        </w:rPr>
        <w:t xml:space="preserve"> (TRA)</w:t>
      </w:r>
      <w:r w:rsidRPr="00AF22E8">
        <w:rPr>
          <w:rFonts w:ascii="Arial" w:hAnsi="Arial" w:cs="Arial"/>
        </w:rPr>
        <w:t xml:space="preserve">, Austrade, Canberra, released in </w:t>
      </w:r>
      <w:r w:rsidR="00061F70">
        <w:rPr>
          <w:rFonts w:ascii="Arial" w:hAnsi="Arial" w:cs="Arial"/>
        </w:rPr>
        <w:t>Decem</w:t>
      </w:r>
      <w:r w:rsidRPr="00AF22E8">
        <w:rPr>
          <w:rFonts w:ascii="Arial" w:hAnsi="Arial" w:cs="Arial"/>
        </w:rPr>
        <w:t xml:space="preserve">ber </w:t>
      </w:r>
      <w:r w:rsidR="00AF22E8">
        <w:rPr>
          <w:rFonts w:ascii="Arial" w:hAnsi="Arial" w:cs="Arial"/>
        </w:rPr>
        <w:t>2024</w:t>
      </w:r>
      <w:r w:rsidRPr="00AF22E8">
        <w:rPr>
          <w:rFonts w:ascii="Arial" w:hAnsi="Arial" w:cs="Arial"/>
        </w:rPr>
        <w:t xml:space="preserve">. </w:t>
      </w:r>
      <w:r w:rsidR="009A7765">
        <w:rPr>
          <w:rFonts w:ascii="Arial" w:hAnsi="Arial" w:cs="Arial"/>
        </w:rPr>
        <w:t xml:space="preserve">The report is available on the TRA </w:t>
      </w:r>
      <w:hyperlink r:id="rId7" w:history="1">
        <w:r w:rsidR="009A7765" w:rsidRPr="00C46389">
          <w:rPr>
            <w:rStyle w:val="Hyperlink"/>
            <w:rFonts w:ascii="Arial" w:hAnsi="Arial" w:cs="Arial"/>
          </w:rPr>
          <w:t>website</w:t>
        </w:r>
      </w:hyperlink>
      <w:r w:rsidR="005130B5" w:rsidRPr="00AF22E8">
        <w:rPr>
          <w:rFonts w:ascii="Arial" w:hAnsi="Arial" w:cs="Arial"/>
        </w:rPr>
        <w:t xml:space="preserve">. </w:t>
      </w:r>
    </w:p>
    <w:p w14:paraId="473B6997" w14:textId="77777777" w:rsidR="00125826" w:rsidRPr="00AF22E8" w:rsidRDefault="00BD3E0C" w:rsidP="00125826">
      <w:pPr>
        <w:pStyle w:val="ListParagraph"/>
        <w:numPr>
          <w:ilvl w:val="0"/>
          <w:numId w:val="6"/>
        </w:numPr>
        <w:rPr>
          <w:rFonts w:ascii="Arial" w:hAnsi="Arial" w:cs="Arial"/>
        </w:rPr>
      </w:pPr>
      <w:r w:rsidRPr="00AF22E8">
        <w:rPr>
          <w:rFonts w:ascii="Arial" w:hAnsi="Arial" w:cs="Arial"/>
        </w:rPr>
        <w:t xml:space="preserve">Victorian spend and visitor projections </w:t>
      </w:r>
      <w:r w:rsidR="00FC4C62" w:rsidRPr="00AF22E8">
        <w:rPr>
          <w:rFonts w:ascii="Arial" w:hAnsi="Arial" w:cs="Arial"/>
        </w:rPr>
        <w:t>have been</w:t>
      </w:r>
      <w:r w:rsidRPr="00AF22E8">
        <w:rPr>
          <w:rFonts w:ascii="Arial" w:hAnsi="Arial" w:cs="Arial"/>
        </w:rPr>
        <w:t xml:space="preserve"> generated by the Tourism and Events research unit</w:t>
      </w:r>
      <w:r w:rsidR="00FC4C62" w:rsidRPr="00AF22E8">
        <w:rPr>
          <w:rFonts w:ascii="Arial" w:hAnsi="Arial" w:cs="Arial"/>
        </w:rPr>
        <w:t xml:space="preserve">. </w:t>
      </w:r>
    </w:p>
    <w:p w14:paraId="6B97B9EB" w14:textId="26E627C6" w:rsidR="00344A7C" w:rsidRPr="00AF22E8" w:rsidRDefault="00B972B2" w:rsidP="00125826">
      <w:pPr>
        <w:pStyle w:val="ListParagraph"/>
        <w:numPr>
          <w:ilvl w:val="0"/>
          <w:numId w:val="6"/>
        </w:numPr>
        <w:rPr>
          <w:rFonts w:ascii="Arial" w:hAnsi="Arial" w:cs="Arial"/>
        </w:rPr>
      </w:pPr>
      <w:r w:rsidRPr="00B972B2">
        <w:rPr>
          <w:rFonts w:ascii="Arial" w:hAnsi="Arial" w:cs="Arial"/>
        </w:rPr>
        <w:lastRenderedPageBreak/>
        <w:t>Victorian spend and visitor estimates for 2024–2029 are based on national growth rates, assuming a constant market share. The same approach is used to derive international visitor forecasts by market (international spend data by market is unavailable</w:t>
      </w:r>
      <w:r>
        <w:rPr>
          <w:rFonts w:ascii="Arial" w:hAnsi="Arial" w:cs="Arial"/>
        </w:rPr>
        <w:t>)</w:t>
      </w:r>
      <w:r w:rsidR="00C1103E" w:rsidRPr="00AF22E8">
        <w:rPr>
          <w:rFonts w:ascii="Arial" w:hAnsi="Arial" w:cs="Arial"/>
        </w:rPr>
        <w:t>.</w:t>
      </w:r>
      <w:r w:rsidR="00125826" w:rsidRPr="00AF22E8">
        <w:rPr>
          <w:rFonts w:ascii="Arial" w:hAnsi="Arial" w:cs="Arial"/>
        </w:rPr>
        <w:t xml:space="preserve"> </w:t>
      </w:r>
    </w:p>
    <w:p w14:paraId="793198CA" w14:textId="7C412E3C" w:rsidR="0033026C" w:rsidRPr="00AF22E8" w:rsidRDefault="000A4796" w:rsidP="00125826">
      <w:pPr>
        <w:pStyle w:val="ListParagraph"/>
        <w:numPr>
          <w:ilvl w:val="0"/>
          <w:numId w:val="6"/>
        </w:numPr>
        <w:rPr>
          <w:rFonts w:ascii="Arial" w:hAnsi="Arial" w:cs="Arial"/>
        </w:rPr>
      </w:pPr>
      <w:r w:rsidRPr="00AF22E8">
        <w:rPr>
          <w:rFonts w:ascii="Arial" w:hAnsi="Arial" w:cs="Arial"/>
        </w:rPr>
        <w:t xml:space="preserve">All expenditure estimates are in nominal terms. </w:t>
      </w:r>
    </w:p>
    <w:p w14:paraId="1175C9EF" w14:textId="3D2DBFEC" w:rsidR="0033026C" w:rsidRPr="00AF22E8" w:rsidRDefault="00AF22E8" w:rsidP="00125826">
      <w:pPr>
        <w:pStyle w:val="ListParagraph"/>
        <w:numPr>
          <w:ilvl w:val="0"/>
          <w:numId w:val="6"/>
        </w:numPr>
        <w:rPr>
          <w:rFonts w:ascii="Arial" w:hAnsi="Arial" w:cs="Arial"/>
        </w:rPr>
      </w:pPr>
      <w:r>
        <w:rPr>
          <w:rFonts w:ascii="Arial" w:hAnsi="Arial" w:cs="Arial"/>
        </w:rPr>
        <w:t>2024</w:t>
      </w:r>
      <w:r w:rsidR="000A4796" w:rsidRPr="00AF22E8">
        <w:rPr>
          <w:rFonts w:ascii="Arial" w:hAnsi="Arial" w:cs="Arial"/>
        </w:rPr>
        <w:t xml:space="preserve"> estimates comprise results from the first half of </w:t>
      </w:r>
      <w:r>
        <w:rPr>
          <w:rFonts w:ascii="Arial" w:hAnsi="Arial" w:cs="Arial"/>
        </w:rPr>
        <w:t>2024</w:t>
      </w:r>
      <w:r w:rsidR="000A4796" w:rsidRPr="00AF22E8">
        <w:rPr>
          <w:rFonts w:ascii="Arial" w:hAnsi="Arial" w:cs="Arial"/>
        </w:rPr>
        <w:t xml:space="preserve"> and an estimate for Jul</w:t>
      </w:r>
      <w:r w:rsidR="00BF7CD4" w:rsidRPr="00AF22E8">
        <w:rPr>
          <w:rFonts w:ascii="Arial" w:hAnsi="Arial" w:cs="Arial"/>
        </w:rPr>
        <w:t>y to December</w:t>
      </w:r>
      <w:r w:rsidR="000A4796" w:rsidRPr="00AF22E8">
        <w:rPr>
          <w:rFonts w:ascii="Arial" w:hAnsi="Arial" w:cs="Arial"/>
        </w:rPr>
        <w:t xml:space="preserve"> </w:t>
      </w:r>
      <w:r>
        <w:rPr>
          <w:rFonts w:ascii="Arial" w:hAnsi="Arial" w:cs="Arial"/>
        </w:rPr>
        <w:t>2024</w:t>
      </w:r>
      <w:r w:rsidR="000A4796" w:rsidRPr="00AF22E8">
        <w:rPr>
          <w:rFonts w:ascii="Arial" w:hAnsi="Arial" w:cs="Arial"/>
        </w:rPr>
        <w:t xml:space="preserve">. </w:t>
      </w:r>
    </w:p>
    <w:p w14:paraId="3E86CCA1" w14:textId="00FD4F5E" w:rsidR="000A4796" w:rsidRPr="00AF22E8" w:rsidRDefault="000A4796" w:rsidP="00125826">
      <w:pPr>
        <w:pStyle w:val="ListParagraph"/>
        <w:numPr>
          <w:ilvl w:val="0"/>
          <w:numId w:val="6"/>
        </w:numPr>
        <w:rPr>
          <w:rFonts w:ascii="Arial" w:hAnsi="Arial" w:cs="Arial"/>
        </w:rPr>
      </w:pPr>
      <w:r w:rsidRPr="00AF22E8">
        <w:rPr>
          <w:rFonts w:ascii="Arial" w:hAnsi="Arial" w:cs="Arial"/>
        </w:rPr>
        <w:t>Forecasts for Victorian domestic nights are produced by Tourism Research Australia</w:t>
      </w:r>
      <w:r w:rsidR="0033026C" w:rsidRPr="00AF22E8">
        <w:rPr>
          <w:rFonts w:ascii="Arial" w:hAnsi="Arial" w:cs="Arial"/>
        </w:rPr>
        <w:t xml:space="preserve">. </w:t>
      </w:r>
    </w:p>
    <w:p w14:paraId="2DB6479F" w14:textId="44E66BDD" w:rsidR="0033026C" w:rsidRDefault="0033026C" w:rsidP="00125826">
      <w:pPr>
        <w:pStyle w:val="ListParagraph"/>
        <w:numPr>
          <w:ilvl w:val="0"/>
          <w:numId w:val="6"/>
        </w:numPr>
        <w:rPr>
          <w:rFonts w:ascii="Arial" w:hAnsi="Arial" w:cs="Arial"/>
        </w:rPr>
      </w:pPr>
      <w:r w:rsidRPr="00EE5FB9">
        <w:rPr>
          <w:rFonts w:ascii="Arial" w:hAnsi="Arial" w:cs="Arial"/>
        </w:rPr>
        <w:t>Note that total growth rates for Victoria differ from the national growth rate due to underlying shares of visitors and how they aggregate.</w:t>
      </w:r>
    </w:p>
    <w:p w14:paraId="4AB91614" w14:textId="3218E19E" w:rsidR="00691AAB" w:rsidRPr="00EE5FB9" w:rsidRDefault="00691AAB" w:rsidP="00125826">
      <w:pPr>
        <w:pStyle w:val="ListParagraph"/>
        <w:numPr>
          <w:ilvl w:val="0"/>
          <w:numId w:val="6"/>
        </w:numPr>
        <w:rPr>
          <w:rFonts w:ascii="Arial" w:hAnsi="Arial" w:cs="Arial"/>
        </w:rPr>
      </w:pPr>
      <w:r>
        <w:rPr>
          <w:rFonts w:ascii="Arial" w:hAnsi="Arial" w:cs="Arial"/>
        </w:rPr>
        <w:t>Rounding may impact estimates/</w:t>
      </w:r>
    </w:p>
    <w:p w14:paraId="4E361CD4" w14:textId="54717664" w:rsidR="002938AC" w:rsidRPr="00AF22E8" w:rsidRDefault="005D606B" w:rsidP="000A4796">
      <w:pPr>
        <w:rPr>
          <w:rFonts w:ascii="Arial" w:hAnsi="Arial" w:cs="Arial"/>
        </w:rPr>
      </w:pPr>
      <w:r w:rsidRPr="00AF22E8">
        <w:rPr>
          <w:rFonts w:ascii="Arial" w:hAnsi="Arial" w:cs="Arial"/>
        </w:rPr>
        <w:t xml:space="preserve">This report was produced by the Tourism and Events </w:t>
      </w:r>
      <w:r w:rsidR="004559FB">
        <w:rPr>
          <w:rFonts w:ascii="Arial" w:hAnsi="Arial" w:cs="Arial"/>
        </w:rPr>
        <w:t>r</w:t>
      </w:r>
      <w:r w:rsidRPr="00AF22E8">
        <w:rPr>
          <w:rFonts w:ascii="Arial" w:hAnsi="Arial" w:cs="Arial"/>
        </w:rPr>
        <w:t xml:space="preserve">esearch </w:t>
      </w:r>
      <w:r w:rsidR="004559FB">
        <w:rPr>
          <w:rFonts w:ascii="Arial" w:hAnsi="Arial" w:cs="Arial"/>
        </w:rPr>
        <w:t>u</w:t>
      </w:r>
      <w:r w:rsidRPr="00AF22E8">
        <w:rPr>
          <w:rFonts w:ascii="Arial" w:hAnsi="Arial" w:cs="Arial"/>
        </w:rPr>
        <w:t xml:space="preserve">nit </w:t>
      </w:r>
      <w:r w:rsidR="0007431E">
        <w:rPr>
          <w:rFonts w:ascii="Arial" w:hAnsi="Arial" w:cs="Arial"/>
        </w:rPr>
        <w:t xml:space="preserve">in </w:t>
      </w:r>
      <w:r w:rsidR="0007431E" w:rsidRPr="0007431E">
        <w:rPr>
          <w:rFonts w:ascii="Arial" w:hAnsi="Arial" w:cs="Arial"/>
        </w:rPr>
        <w:t>the Victorian Government Department of Jobs, Skills Industry and Regions (DJSIR)</w:t>
      </w:r>
      <w:r w:rsidR="004B57FA" w:rsidRPr="00AF22E8">
        <w:rPr>
          <w:rFonts w:ascii="Arial" w:hAnsi="Arial" w:cs="Arial"/>
        </w:rPr>
        <w:t>.</w:t>
      </w:r>
      <w:r w:rsidR="00691AAB">
        <w:rPr>
          <w:rFonts w:ascii="Arial" w:hAnsi="Arial" w:cs="Arial"/>
        </w:rPr>
        <w:t xml:space="preserve"> </w:t>
      </w:r>
      <w:r w:rsidR="000A4796" w:rsidRPr="00AF22E8">
        <w:rPr>
          <w:rFonts w:ascii="Arial" w:hAnsi="Arial" w:cs="Arial"/>
        </w:rPr>
        <w:t>This information is considered correct at the time of publishing, however DJSIR accepts no responsibility for use of this information.</w:t>
      </w:r>
    </w:p>
    <w:sectPr w:rsidR="002938AC" w:rsidRPr="00AF22E8" w:rsidSect="002F4CBD">
      <w:headerReference w:type="default" r:id="rId8"/>
      <w:footerReference w:type="default" r:id="rId9"/>
      <w:pgSz w:w="11906" w:h="16838"/>
      <w:pgMar w:top="1135" w:right="1274" w:bottom="1440" w:left="1440" w:header="708"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DA0B0" w14:textId="77777777" w:rsidR="00054F7C" w:rsidRDefault="00054F7C" w:rsidP="00892553">
      <w:pPr>
        <w:spacing w:after="0" w:line="240" w:lineRule="auto"/>
      </w:pPr>
      <w:r>
        <w:separator/>
      </w:r>
    </w:p>
  </w:endnote>
  <w:endnote w:type="continuationSeparator" w:id="0">
    <w:p w14:paraId="10BA2DD9" w14:textId="77777777" w:rsidR="00054F7C" w:rsidRDefault="00054F7C" w:rsidP="0089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ACF8" w14:textId="12E520EF" w:rsidR="00DF2B17" w:rsidRPr="002F4CBD" w:rsidRDefault="00DF2B17" w:rsidP="00A822C3">
    <w:pPr>
      <w:pStyle w:val="Footer"/>
      <w:jc w:val="right"/>
      <w:rPr>
        <w:rFonts w:ascii="Arial" w:hAnsi="Arial" w:cs="Arial"/>
      </w:rPr>
    </w:pPr>
    <w:r w:rsidRPr="002F4CBD">
      <w:rPr>
        <w:rFonts w:ascii="Arial" w:hAnsi="Arial" w:cs="Arial"/>
      </w:rPr>
      <w:t>State Government of Victoria</w:t>
    </w:r>
  </w:p>
  <w:p w14:paraId="46F7C5BD" w14:textId="6EBBA452" w:rsidR="00A61307" w:rsidRPr="002F4CBD" w:rsidRDefault="00A61307" w:rsidP="00F46E8C">
    <w:pPr>
      <w:pStyle w:val="Title"/>
      <w:jc w:val="right"/>
      <w:rPr>
        <w:rFonts w:ascii="Arial" w:eastAsiaTheme="minorEastAsia" w:hAnsi="Arial" w:cs="Arial"/>
        <w:color w:val="auto"/>
        <w:spacing w:val="0"/>
        <w:sz w:val="21"/>
        <w:szCs w:val="21"/>
      </w:rPr>
    </w:pPr>
    <w:r w:rsidRPr="002F4CBD">
      <w:rPr>
        <w:rFonts w:ascii="Arial" w:eastAsiaTheme="minorEastAsia" w:hAnsi="Arial" w:cs="Arial"/>
        <w:color w:val="auto"/>
        <w:spacing w:val="0"/>
        <w:sz w:val="21"/>
        <w:szCs w:val="21"/>
      </w:rPr>
      <w:t xml:space="preserve">Victoria’s Tourism Forecasts </w:t>
    </w:r>
    <w:r w:rsidR="00AF22E8" w:rsidRPr="002F4CBD">
      <w:rPr>
        <w:rFonts w:ascii="Arial" w:eastAsiaTheme="minorEastAsia" w:hAnsi="Arial" w:cs="Arial"/>
        <w:color w:val="auto"/>
        <w:spacing w:val="0"/>
        <w:sz w:val="21"/>
        <w:szCs w:val="21"/>
      </w:rPr>
      <w:t>2024-2029</w:t>
    </w:r>
    <w:r w:rsidRPr="002F4CBD">
      <w:rPr>
        <w:rFonts w:ascii="Arial" w:eastAsiaTheme="minorEastAsia" w:hAnsi="Arial" w:cs="Arial"/>
        <w:color w:val="auto"/>
        <w:spacing w:val="0"/>
        <w:sz w:val="21"/>
        <w:szCs w:val="21"/>
      </w:rPr>
      <w:t xml:space="preserve"> (Optimised for digital accessibility)</w:t>
    </w:r>
  </w:p>
  <w:p w14:paraId="1162C6C8" w14:textId="77777777" w:rsidR="002F4CBD" w:rsidRDefault="002F4CBD" w:rsidP="00A822C3">
    <w:pPr>
      <w:pStyle w:val="Footer"/>
      <w:jc w:val="right"/>
      <w:rPr>
        <w:rFonts w:ascii="Arial" w:hAnsi="Arial" w:cs="Arial"/>
      </w:rPr>
    </w:pPr>
  </w:p>
  <w:p w14:paraId="1D3206E1" w14:textId="7B2D3BF9" w:rsidR="00DF2B17" w:rsidRPr="002F4CBD" w:rsidRDefault="00DF2B17" w:rsidP="00A822C3">
    <w:pPr>
      <w:pStyle w:val="Footer"/>
      <w:jc w:val="right"/>
      <w:rPr>
        <w:rFonts w:ascii="Arial" w:hAnsi="Arial" w:cs="Arial"/>
      </w:rPr>
    </w:pPr>
    <w:r w:rsidRPr="002F4CBD">
      <w:rPr>
        <w:rFonts w:ascii="Arial" w:hAnsi="Arial" w:cs="Arial"/>
      </w:rPr>
      <w:t xml:space="preserve">Page </w:t>
    </w:r>
    <w:sdt>
      <w:sdtPr>
        <w:rPr>
          <w:rFonts w:ascii="Arial" w:hAnsi="Arial" w:cs="Arial"/>
        </w:rPr>
        <w:id w:val="-1493786459"/>
        <w:docPartObj>
          <w:docPartGallery w:val="Page Numbers (Bottom of Page)"/>
          <w:docPartUnique/>
        </w:docPartObj>
      </w:sdtPr>
      <w:sdtEndPr>
        <w:rPr>
          <w:noProof/>
        </w:rPr>
      </w:sdtEndPr>
      <w:sdtContent>
        <w:r w:rsidRPr="002F4CBD">
          <w:rPr>
            <w:rFonts w:ascii="Arial" w:hAnsi="Arial" w:cs="Arial"/>
          </w:rPr>
          <w:fldChar w:fldCharType="begin"/>
        </w:r>
        <w:r w:rsidRPr="002F4CBD">
          <w:rPr>
            <w:rFonts w:ascii="Arial" w:hAnsi="Arial" w:cs="Arial"/>
          </w:rPr>
          <w:instrText xml:space="preserve"> PAGE   \* MERGEFORMAT </w:instrText>
        </w:r>
        <w:r w:rsidRPr="002F4CBD">
          <w:rPr>
            <w:rFonts w:ascii="Arial" w:hAnsi="Arial" w:cs="Arial"/>
          </w:rPr>
          <w:fldChar w:fldCharType="separate"/>
        </w:r>
        <w:r w:rsidRPr="002F4CBD">
          <w:rPr>
            <w:rFonts w:ascii="Arial" w:hAnsi="Arial" w:cs="Arial"/>
          </w:rPr>
          <w:t>2</w:t>
        </w:r>
        <w:r w:rsidRPr="002F4CBD">
          <w:rPr>
            <w:rFonts w:ascii="Arial" w:hAnsi="Arial" w:cs="Arial"/>
            <w:noProof/>
          </w:rPr>
          <w:fldChar w:fldCharType="end"/>
        </w:r>
      </w:sdtContent>
    </w:sdt>
  </w:p>
  <w:p w14:paraId="574CB0CF" w14:textId="54A370FA" w:rsidR="00892553" w:rsidRDefault="00892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B5D5C" w14:textId="77777777" w:rsidR="00054F7C" w:rsidRDefault="00054F7C" w:rsidP="00892553">
      <w:pPr>
        <w:spacing w:after="0" w:line="240" w:lineRule="auto"/>
      </w:pPr>
      <w:r>
        <w:separator/>
      </w:r>
    </w:p>
  </w:footnote>
  <w:footnote w:type="continuationSeparator" w:id="0">
    <w:p w14:paraId="6E98CB39" w14:textId="77777777" w:rsidR="00054F7C" w:rsidRDefault="00054F7C" w:rsidP="0089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87AA" w14:textId="2D92F4C0" w:rsidR="00892553" w:rsidRDefault="00892553">
    <w:pPr>
      <w:pStyle w:val="Header"/>
    </w:pPr>
    <w:r>
      <w:rPr>
        <w:noProof/>
      </w:rPr>
      <mc:AlternateContent>
        <mc:Choice Requires="wps">
          <w:drawing>
            <wp:anchor distT="0" distB="0" distL="114300" distR="114300" simplePos="0" relativeHeight="251660800" behindDoc="0" locked="0" layoutInCell="0" allowOverlap="1" wp14:anchorId="79C43859" wp14:editId="5ED07074">
              <wp:simplePos x="0" y="0"/>
              <wp:positionH relativeFrom="page">
                <wp:posOffset>0</wp:posOffset>
              </wp:positionH>
              <wp:positionV relativeFrom="page">
                <wp:posOffset>190500</wp:posOffset>
              </wp:positionV>
              <wp:extent cx="7560310" cy="252095"/>
              <wp:effectExtent l="0" t="0" r="0" b="14605"/>
              <wp:wrapNone/>
              <wp:docPr id="2" name="MSIPCM2074447c99f1939b14f6b14f"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E8735" w14:textId="7FF29E82" w:rsidR="00892553" w:rsidRPr="00892553" w:rsidRDefault="00892553" w:rsidP="00892553">
                          <w:pPr>
                            <w:spacing w:after="0"/>
                            <w:jc w:val="center"/>
                            <w:rPr>
                              <w:rFonts w:ascii="Arial" w:hAnsi="Arial" w:cs="Arial"/>
                              <w:color w:val="000000"/>
                              <w:sz w:val="24"/>
                            </w:rPr>
                          </w:pPr>
                          <w:r w:rsidRPr="0089255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C43859" id="_x0000_t202" coordsize="21600,21600" o:spt="202" path="m,l,21600r21600,l21600,xe">
              <v:stroke joinstyle="miter"/>
              <v:path gradientshapeok="t" o:connecttype="rect"/>
            </v:shapetype>
            <v:shape id="MSIPCM2074447c99f1939b14f6b14f"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68E8735" w14:textId="7FF29E82" w:rsidR="00892553" w:rsidRPr="00892553" w:rsidRDefault="00892553" w:rsidP="00892553">
                    <w:pPr>
                      <w:spacing w:after="0"/>
                      <w:jc w:val="center"/>
                      <w:rPr>
                        <w:rFonts w:ascii="Arial" w:hAnsi="Arial" w:cs="Arial"/>
                        <w:color w:val="000000"/>
                        <w:sz w:val="24"/>
                      </w:rPr>
                    </w:pPr>
                    <w:r w:rsidRPr="00892553">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0AC"/>
    <w:multiLevelType w:val="hybridMultilevel"/>
    <w:tmpl w:val="7A9C5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F1678B"/>
    <w:multiLevelType w:val="hybridMultilevel"/>
    <w:tmpl w:val="137A6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F51172"/>
    <w:multiLevelType w:val="hybridMultilevel"/>
    <w:tmpl w:val="11485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526931"/>
    <w:multiLevelType w:val="multilevel"/>
    <w:tmpl w:val="7BE466A2"/>
    <w:lvl w:ilvl="0">
      <w:start w:val="1"/>
      <w:numFmt w:val="decimal"/>
      <w:lvlText w:val="%1.0"/>
      <w:lvlJc w:val="left"/>
      <w:pPr>
        <w:ind w:left="670" w:hanging="670"/>
      </w:pPr>
      <w:rPr>
        <w:rFonts w:hint="default"/>
      </w:rPr>
    </w:lvl>
    <w:lvl w:ilvl="1">
      <w:start w:val="1"/>
      <w:numFmt w:val="decimal"/>
      <w:lvlText w:val="%1.%2"/>
      <w:lvlJc w:val="left"/>
      <w:pPr>
        <w:ind w:left="1390" w:hanging="6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7A77528"/>
    <w:multiLevelType w:val="hybridMultilevel"/>
    <w:tmpl w:val="BDF60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2D0D00"/>
    <w:multiLevelType w:val="hybridMultilevel"/>
    <w:tmpl w:val="F6583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F62B2E"/>
    <w:multiLevelType w:val="hybridMultilevel"/>
    <w:tmpl w:val="67CA4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144358"/>
    <w:multiLevelType w:val="hybridMultilevel"/>
    <w:tmpl w:val="A72CD7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1B3B31"/>
    <w:multiLevelType w:val="hybridMultilevel"/>
    <w:tmpl w:val="E782E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7939CF"/>
    <w:multiLevelType w:val="hybridMultilevel"/>
    <w:tmpl w:val="D5EEB9C0"/>
    <w:lvl w:ilvl="0" w:tplc="0C090003">
      <w:start w:val="1"/>
      <w:numFmt w:val="bullet"/>
      <w:lvlText w:val="o"/>
      <w:lvlJc w:val="left"/>
      <w:pPr>
        <w:ind w:left="770" w:hanging="360"/>
      </w:pPr>
      <w:rPr>
        <w:rFonts w:ascii="Courier New" w:hAnsi="Courier New" w:cs="Courier New"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0" w15:restartNumberingAfterBreak="0">
    <w:nsid w:val="5EB46819"/>
    <w:multiLevelType w:val="hybridMultilevel"/>
    <w:tmpl w:val="BAD8A4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6BE504D7"/>
    <w:multiLevelType w:val="hybridMultilevel"/>
    <w:tmpl w:val="BA108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250BD4"/>
    <w:multiLevelType w:val="hybridMultilevel"/>
    <w:tmpl w:val="DC8C91B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497566"/>
    <w:multiLevelType w:val="hybridMultilevel"/>
    <w:tmpl w:val="39B64CAA"/>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1304770921">
    <w:abstractNumId w:val="8"/>
  </w:num>
  <w:num w:numId="2" w16cid:durableId="1755202498">
    <w:abstractNumId w:val="6"/>
  </w:num>
  <w:num w:numId="3" w16cid:durableId="1829202664">
    <w:abstractNumId w:val="2"/>
  </w:num>
  <w:num w:numId="4" w16cid:durableId="1072695412">
    <w:abstractNumId w:val="0"/>
  </w:num>
  <w:num w:numId="5" w16cid:durableId="956445019">
    <w:abstractNumId w:val="5"/>
  </w:num>
  <w:num w:numId="6" w16cid:durableId="105470439">
    <w:abstractNumId w:val="7"/>
  </w:num>
  <w:num w:numId="7" w16cid:durableId="1519731543">
    <w:abstractNumId w:val="4"/>
  </w:num>
  <w:num w:numId="8" w16cid:durableId="747846642">
    <w:abstractNumId w:val="11"/>
  </w:num>
  <w:num w:numId="9" w16cid:durableId="2044944028">
    <w:abstractNumId w:val="10"/>
  </w:num>
  <w:num w:numId="10" w16cid:durableId="1750151634">
    <w:abstractNumId w:val="1"/>
  </w:num>
  <w:num w:numId="11" w16cid:durableId="153223553">
    <w:abstractNumId w:val="9"/>
  </w:num>
  <w:num w:numId="12" w16cid:durableId="1838418977">
    <w:abstractNumId w:val="12"/>
  </w:num>
  <w:num w:numId="13" w16cid:durableId="1863086784">
    <w:abstractNumId w:val="13"/>
  </w:num>
  <w:num w:numId="14" w16cid:durableId="1571696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53"/>
    <w:rsid w:val="000003E3"/>
    <w:rsid w:val="0001653D"/>
    <w:rsid w:val="00017B1E"/>
    <w:rsid w:val="00022607"/>
    <w:rsid w:val="00022DA3"/>
    <w:rsid w:val="00027101"/>
    <w:rsid w:val="00031C47"/>
    <w:rsid w:val="00042AAF"/>
    <w:rsid w:val="00045485"/>
    <w:rsid w:val="00045E27"/>
    <w:rsid w:val="00052286"/>
    <w:rsid w:val="00053332"/>
    <w:rsid w:val="00054F7C"/>
    <w:rsid w:val="00060343"/>
    <w:rsid w:val="00061F70"/>
    <w:rsid w:val="000624CF"/>
    <w:rsid w:val="00062A4E"/>
    <w:rsid w:val="00065FD1"/>
    <w:rsid w:val="000677E9"/>
    <w:rsid w:val="0007431E"/>
    <w:rsid w:val="000744AE"/>
    <w:rsid w:val="00074A7E"/>
    <w:rsid w:val="00075231"/>
    <w:rsid w:val="0007792E"/>
    <w:rsid w:val="000810D4"/>
    <w:rsid w:val="00083BDD"/>
    <w:rsid w:val="00083CB3"/>
    <w:rsid w:val="00084F35"/>
    <w:rsid w:val="00090A0C"/>
    <w:rsid w:val="00092975"/>
    <w:rsid w:val="00093F69"/>
    <w:rsid w:val="000A0655"/>
    <w:rsid w:val="000A0C83"/>
    <w:rsid w:val="000A17A5"/>
    <w:rsid w:val="000A2231"/>
    <w:rsid w:val="000A2EBC"/>
    <w:rsid w:val="000A4796"/>
    <w:rsid w:val="000A6AFD"/>
    <w:rsid w:val="000B3465"/>
    <w:rsid w:val="000B5789"/>
    <w:rsid w:val="000C1250"/>
    <w:rsid w:val="000C5E3B"/>
    <w:rsid w:val="000D1F3A"/>
    <w:rsid w:val="000D2CDB"/>
    <w:rsid w:val="000E37F7"/>
    <w:rsid w:val="000F3D5E"/>
    <w:rsid w:val="000F6E30"/>
    <w:rsid w:val="000F7F2E"/>
    <w:rsid w:val="0011585D"/>
    <w:rsid w:val="0012212A"/>
    <w:rsid w:val="001223F3"/>
    <w:rsid w:val="00124286"/>
    <w:rsid w:val="00125826"/>
    <w:rsid w:val="00127C6A"/>
    <w:rsid w:val="00133DD1"/>
    <w:rsid w:val="00136871"/>
    <w:rsid w:val="00142B4E"/>
    <w:rsid w:val="00143596"/>
    <w:rsid w:val="00150424"/>
    <w:rsid w:val="0015071E"/>
    <w:rsid w:val="0015712C"/>
    <w:rsid w:val="00157E45"/>
    <w:rsid w:val="00160471"/>
    <w:rsid w:val="001634FE"/>
    <w:rsid w:val="0017018C"/>
    <w:rsid w:val="0017588C"/>
    <w:rsid w:val="00176DF6"/>
    <w:rsid w:val="00177DC9"/>
    <w:rsid w:val="001802A8"/>
    <w:rsid w:val="00183D9E"/>
    <w:rsid w:val="00185221"/>
    <w:rsid w:val="00195648"/>
    <w:rsid w:val="00196D75"/>
    <w:rsid w:val="00197330"/>
    <w:rsid w:val="001A1994"/>
    <w:rsid w:val="001B5501"/>
    <w:rsid w:val="001B5569"/>
    <w:rsid w:val="001C0718"/>
    <w:rsid w:val="001D2327"/>
    <w:rsid w:val="001D3E15"/>
    <w:rsid w:val="001D3E18"/>
    <w:rsid w:val="001D4450"/>
    <w:rsid w:val="001D6744"/>
    <w:rsid w:val="001E7938"/>
    <w:rsid w:val="001F1E48"/>
    <w:rsid w:val="001F62D5"/>
    <w:rsid w:val="001F6A72"/>
    <w:rsid w:val="001F6C90"/>
    <w:rsid w:val="00200C4D"/>
    <w:rsid w:val="00200EB1"/>
    <w:rsid w:val="002014C2"/>
    <w:rsid w:val="0020410A"/>
    <w:rsid w:val="00205CEF"/>
    <w:rsid w:val="002073F4"/>
    <w:rsid w:val="0021238E"/>
    <w:rsid w:val="00215EDE"/>
    <w:rsid w:val="00216D93"/>
    <w:rsid w:val="002215D5"/>
    <w:rsid w:val="00221ACF"/>
    <w:rsid w:val="00224E43"/>
    <w:rsid w:val="00230BD0"/>
    <w:rsid w:val="00232FAC"/>
    <w:rsid w:val="00234CDA"/>
    <w:rsid w:val="00235DCB"/>
    <w:rsid w:val="00240225"/>
    <w:rsid w:val="0024257B"/>
    <w:rsid w:val="002438EB"/>
    <w:rsid w:val="00247F60"/>
    <w:rsid w:val="00255D67"/>
    <w:rsid w:val="00255FE7"/>
    <w:rsid w:val="002574F5"/>
    <w:rsid w:val="0025750C"/>
    <w:rsid w:val="00265CE1"/>
    <w:rsid w:val="0027579D"/>
    <w:rsid w:val="002779AD"/>
    <w:rsid w:val="00277BB5"/>
    <w:rsid w:val="002822EC"/>
    <w:rsid w:val="00282656"/>
    <w:rsid w:val="00287D79"/>
    <w:rsid w:val="00291CA9"/>
    <w:rsid w:val="00292258"/>
    <w:rsid w:val="002938AC"/>
    <w:rsid w:val="0029611F"/>
    <w:rsid w:val="002A0687"/>
    <w:rsid w:val="002A2ECD"/>
    <w:rsid w:val="002B008C"/>
    <w:rsid w:val="002B07E8"/>
    <w:rsid w:val="002B440C"/>
    <w:rsid w:val="002B70A0"/>
    <w:rsid w:val="002B7AF2"/>
    <w:rsid w:val="002C3581"/>
    <w:rsid w:val="002C5BD7"/>
    <w:rsid w:val="002E4384"/>
    <w:rsid w:val="002E5944"/>
    <w:rsid w:val="002E74A3"/>
    <w:rsid w:val="002E798D"/>
    <w:rsid w:val="002E7E40"/>
    <w:rsid w:val="002F1170"/>
    <w:rsid w:val="002F4160"/>
    <w:rsid w:val="002F4CBD"/>
    <w:rsid w:val="002F59B6"/>
    <w:rsid w:val="002F6CCC"/>
    <w:rsid w:val="00304263"/>
    <w:rsid w:val="00306F9A"/>
    <w:rsid w:val="003074AF"/>
    <w:rsid w:val="0031029D"/>
    <w:rsid w:val="00321F39"/>
    <w:rsid w:val="00325B91"/>
    <w:rsid w:val="00326128"/>
    <w:rsid w:val="0033026C"/>
    <w:rsid w:val="00340B34"/>
    <w:rsid w:val="0034254B"/>
    <w:rsid w:val="00342D2D"/>
    <w:rsid w:val="00344A7C"/>
    <w:rsid w:val="00345087"/>
    <w:rsid w:val="003458D9"/>
    <w:rsid w:val="003459F5"/>
    <w:rsid w:val="0035138B"/>
    <w:rsid w:val="00361B5D"/>
    <w:rsid w:val="00363007"/>
    <w:rsid w:val="003637D0"/>
    <w:rsid w:val="003648BB"/>
    <w:rsid w:val="00365111"/>
    <w:rsid w:val="003661C0"/>
    <w:rsid w:val="00366E33"/>
    <w:rsid w:val="00371F53"/>
    <w:rsid w:val="00373B40"/>
    <w:rsid w:val="00381A90"/>
    <w:rsid w:val="00386A00"/>
    <w:rsid w:val="00390F2D"/>
    <w:rsid w:val="003A1758"/>
    <w:rsid w:val="003A21DA"/>
    <w:rsid w:val="003A272C"/>
    <w:rsid w:val="003A536D"/>
    <w:rsid w:val="003A64D2"/>
    <w:rsid w:val="003B293F"/>
    <w:rsid w:val="003B56E8"/>
    <w:rsid w:val="003B5879"/>
    <w:rsid w:val="003B7D0D"/>
    <w:rsid w:val="003C05EE"/>
    <w:rsid w:val="003D630A"/>
    <w:rsid w:val="003E195F"/>
    <w:rsid w:val="003E31E1"/>
    <w:rsid w:val="003E3686"/>
    <w:rsid w:val="003E6453"/>
    <w:rsid w:val="003F2EAB"/>
    <w:rsid w:val="003F7BFD"/>
    <w:rsid w:val="00400258"/>
    <w:rsid w:val="00401437"/>
    <w:rsid w:val="00402A5C"/>
    <w:rsid w:val="004033E9"/>
    <w:rsid w:val="00405C6A"/>
    <w:rsid w:val="004076C5"/>
    <w:rsid w:val="00422D8C"/>
    <w:rsid w:val="0043007E"/>
    <w:rsid w:val="00434A1C"/>
    <w:rsid w:val="0043705B"/>
    <w:rsid w:val="00441D79"/>
    <w:rsid w:val="00451A29"/>
    <w:rsid w:val="00451CE9"/>
    <w:rsid w:val="00454A60"/>
    <w:rsid w:val="004559FB"/>
    <w:rsid w:val="00462703"/>
    <w:rsid w:val="004661FE"/>
    <w:rsid w:val="00471CE5"/>
    <w:rsid w:val="00472BD9"/>
    <w:rsid w:val="00484281"/>
    <w:rsid w:val="004876D2"/>
    <w:rsid w:val="00490CD8"/>
    <w:rsid w:val="00491582"/>
    <w:rsid w:val="00492445"/>
    <w:rsid w:val="0049280C"/>
    <w:rsid w:val="00493585"/>
    <w:rsid w:val="0049377A"/>
    <w:rsid w:val="00493B5D"/>
    <w:rsid w:val="00493BA0"/>
    <w:rsid w:val="004948F6"/>
    <w:rsid w:val="004957AA"/>
    <w:rsid w:val="004A0373"/>
    <w:rsid w:val="004A0997"/>
    <w:rsid w:val="004A3CF9"/>
    <w:rsid w:val="004A5245"/>
    <w:rsid w:val="004A5CFE"/>
    <w:rsid w:val="004B2BFA"/>
    <w:rsid w:val="004B564E"/>
    <w:rsid w:val="004B57FA"/>
    <w:rsid w:val="004C229D"/>
    <w:rsid w:val="004C6C30"/>
    <w:rsid w:val="004D3F2A"/>
    <w:rsid w:val="004D4287"/>
    <w:rsid w:val="004D5947"/>
    <w:rsid w:val="004D5CE6"/>
    <w:rsid w:val="004E3976"/>
    <w:rsid w:val="004E73F6"/>
    <w:rsid w:val="004F1626"/>
    <w:rsid w:val="004F3207"/>
    <w:rsid w:val="004F32CB"/>
    <w:rsid w:val="004F3D48"/>
    <w:rsid w:val="004F5D28"/>
    <w:rsid w:val="004F6961"/>
    <w:rsid w:val="00500669"/>
    <w:rsid w:val="005008D9"/>
    <w:rsid w:val="005062F5"/>
    <w:rsid w:val="0051196B"/>
    <w:rsid w:val="005130B5"/>
    <w:rsid w:val="0051625B"/>
    <w:rsid w:val="00520047"/>
    <w:rsid w:val="0052049F"/>
    <w:rsid w:val="00520613"/>
    <w:rsid w:val="005244A0"/>
    <w:rsid w:val="00527316"/>
    <w:rsid w:val="00531ED3"/>
    <w:rsid w:val="00533720"/>
    <w:rsid w:val="00535686"/>
    <w:rsid w:val="00535829"/>
    <w:rsid w:val="00536E3B"/>
    <w:rsid w:val="00542181"/>
    <w:rsid w:val="00542F21"/>
    <w:rsid w:val="0054302C"/>
    <w:rsid w:val="0055347A"/>
    <w:rsid w:val="00561FAA"/>
    <w:rsid w:val="00562434"/>
    <w:rsid w:val="005673CC"/>
    <w:rsid w:val="00570A24"/>
    <w:rsid w:val="00577A05"/>
    <w:rsid w:val="00581568"/>
    <w:rsid w:val="00582C31"/>
    <w:rsid w:val="005864CD"/>
    <w:rsid w:val="00591BBA"/>
    <w:rsid w:val="005940EB"/>
    <w:rsid w:val="00594CE7"/>
    <w:rsid w:val="00596626"/>
    <w:rsid w:val="005C1711"/>
    <w:rsid w:val="005C2902"/>
    <w:rsid w:val="005D606B"/>
    <w:rsid w:val="005E0126"/>
    <w:rsid w:val="005E388D"/>
    <w:rsid w:val="005E4132"/>
    <w:rsid w:val="005E4DE9"/>
    <w:rsid w:val="005E58BB"/>
    <w:rsid w:val="005F2B75"/>
    <w:rsid w:val="005F3B5A"/>
    <w:rsid w:val="00603CF0"/>
    <w:rsid w:val="0060536E"/>
    <w:rsid w:val="00610C1E"/>
    <w:rsid w:val="00613278"/>
    <w:rsid w:val="0061510A"/>
    <w:rsid w:val="0062034B"/>
    <w:rsid w:val="006220CB"/>
    <w:rsid w:val="0062255E"/>
    <w:rsid w:val="006225A9"/>
    <w:rsid w:val="00625410"/>
    <w:rsid w:val="00626CF8"/>
    <w:rsid w:val="00632623"/>
    <w:rsid w:val="00633AA7"/>
    <w:rsid w:val="006365EE"/>
    <w:rsid w:val="00640BBD"/>
    <w:rsid w:val="00642416"/>
    <w:rsid w:val="00662991"/>
    <w:rsid w:val="00663F68"/>
    <w:rsid w:val="006643FB"/>
    <w:rsid w:val="006653A5"/>
    <w:rsid w:val="00665CED"/>
    <w:rsid w:val="006668D3"/>
    <w:rsid w:val="0066736D"/>
    <w:rsid w:val="00667EC6"/>
    <w:rsid w:val="00671D51"/>
    <w:rsid w:val="0068271A"/>
    <w:rsid w:val="00691AAB"/>
    <w:rsid w:val="0069415A"/>
    <w:rsid w:val="0069511E"/>
    <w:rsid w:val="006A35C4"/>
    <w:rsid w:val="006A4977"/>
    <w:rsid w:val="006A607C"/>
    <w:rsid w:val="006A6E2B"/>
    <w:rsid w:val="006A76DF"/>
    <w:rsid w:val="006B0177"/>
    <w:rsid w:val="006B07D6"/>
    <w:rsid w:val="006B4A2C"/>
    <w:rsid w:val="006B4F04"/>
    <w:rsid w:val="006B70AB"/>
    <w:rsid w:val="006C069B"/>
    <w:rsid w:val="006C0730"/>
    <w:rsid w:val="006C39C6"/>
    <w:rsid w:val="006C45E0"/>
    <w:rsid w:val="006C4E7A"/>
    <w:rsid w:val="006C58DB"/>
    <w:rsid w:val="006D1077"/>
    <w:rsid w:val="006E12B1"/>
    <w:rsid w:val="006E338F"/>
    <w:rsid w:val="006E6A98"/>
    <w:rsid w:val="006F06ED"/>
    <w:rsid w:val="006F14D1"/>
    <w:rsid w:val="006F3270"/>
    <w:rsid w:val="006F47EC"/>
    <w:rsid w:val="00700418"/>
    <w:rsid w:val="00701DA8"/>
    <w:rsid w:val="0071679E"/>
    <w:rsid w:val="00720DA4"/>
    <w:rsid w:val="00720FBA"/>
    <w:rsid w:val="0072376D"/>
    <w:rsid w:val="00724FB6"/>
    <w:rsid w:val="00725578"/>
    <w:rsid w:val="00732FF7"/>
    <w:rsid w:val="00735181"/>
    <w:rsid w:val="00736F72"/>
    <w:rsid w:val="00744163"/>
    <w:rsid w:val="00750D7D"/>
    <w:rsid w:val="00751529"/>
    <w:rsid w:val="0075539D"/>
    <w:rsid w:val="00755523"/>
    <w:rsid w:val="00755F87"/>
    <w:rsid w:val="007615D9"/>
    <w:rsid w:val="007617D8"/>
    <w:rsid w:val="00767891"/>
    <w:rsid w:val="0077474D"/>
    <w:rsid w:val="00780C1D"/>
    <w:rsid w:val="007814F4"/>
    <w:rsid w:val="007901B5"/>
    <w:rsid w:val="00797C18"/>
    <w:rsid w:val="007A24EE"/>
    <w:rsid w:val="007A5237"/>
    <w:rsid w:val="007B0413"/>
    <w:rsid w:val="007B16FC"/>
    <w:rsid w:val="007B1903"/>
    <w:rsid w:val="007B2391"/>
    <w:rsid w:val="007B25F6"/>
    <w:rsid w:val="007C3776"/>
    <w:rsid w:val="007C5884"/>
    <w:rsid w:val="007C6E6B"/>
    <w:rsid w:val="007D0BE1"/>
    <w:rsid w:val="007D1334"/>
    <w:rsid w:val="007D3A90"/>
    <w:rsid w:val="007D7145"/>
    <w:rsid w:val="007E0B6E"/>
    <w:rsid w:val="007E2432"/>
    <w:rsid w:val="007E2F92"/>
    <w:rsid w:val="007E481E"/>
    <w:rsid w:val="007E487A"/>
    <w:rsid w:val="007E7A68"/>
    <w:rsid w:val="007F16BB"/>
    <w:rsid w:val="007F2422"/>
    <w:rsid w:val="007F2C55"/>
    <w:rsid w:val="007F4606"/>
    <w:rsid w:val="00802ED1"/>
    <w:rsid w:val="0080585D"/>
    <w:rsid w:val="00806248"/>
    <w:rsid w:val="00806FDB"/>
    <w:rsid w:val="00810D79"/>
    <w:rsid w:val="0081248A"/>
    <w:rsid w:val="0081657D"/>
    <w:rsid w:val="00816EAA"/>
    <w:rsid w:val="00817204"/>
    <w:rsid w:val="0082694A"/>
    <w:rsid w:val="00826BAF"/>
    <w:rsid w:val="00827CE7"/>
    <w:rsid w:val="00830F47"/>
    <w:rsid w:val="00833752"/>
    <w:rsid w:val="00840602"/>
    <w:rsid w:val="00847437"/>
    <w:rsid w:val="00850DDF"/>
    <w:rsid w:val="0085353B"/>
    <w:rsid w:val="00853A68"/>
    <w:rsid w:val="00860A37"/>
    <w:rsid w:val="00867A65"/>
    <w:rsid w:val="00867FE1"/>
    <w:rsid w:val="00872B90"/>
    <w:rsid w:val="0087336E"/>
    <w:rsid w:val="008761C3"/>
    <w:rsid w:val="008763D6"/>
    <w:rsid w:val="00881C06"/>
    <w:rsid w:val="008856AB"/>
    <w:rsid w:val="008870EE"/>
    <w:rsid w:val="00892553"/>
    <w:rsid w:val="00895CA4"/>
    <w:rsid w:val="00897084"/>
    <w:rsid w:val="008A6DC4"/>
    <w:rsid w:val="008B1796"/>
    <w:rsid w:val="008B2DEA"/>
    <w:rsid w:val="008C3C33"/>
    <w:rsid w:val="008C57F1"/>
    <w:rsid w:val="008C5840"/>
    <w:rsid w:val="008C6E2D"/>
    <w:rsid w:val="008C741D"/>
    <w:rsid w:val="008D5263"/>
    <w:rsid w:val="008D76B4"/>
    <w:rsid w:val="008E1756"/>
    <w:rsid w:val="008E1A9C"/>
    <w:rsid w:val="008E444C"/>
    <w:rsid w:val="008E52AF"/>
    <w:rsid w:val="008F119F"/>
    <w:rsid w:val="008F1245"/>
    <w:rsid w:val="008F22CC"/>
    <w:rsid w:val="008F22F6"/>
    <w:rsid w:val="008F2ABF"/>
    <w:rsid w:val="008F415A"/>
    <w:rsid w:val="008F4A76"/>
    <w:rsid w:val="008F56BD"/>
    <w:rsid w:val="009005B3"/>
    <w:rsid w:val="0091189D"/>
    <w:rsid w:val="00912691"/>
    <w:rsid w:val="00912BC8"/>
    <w:rsid w:val="009143AD"/>
    <w:rsid w:val="00920FA3"/>
    <w:rsid w:val="009225DB"/>
    <w:rsid w:val="00922EA4"/>
    <w:rsid w:val="00923684"/>
    <w:rsid w:val="009254C9"/>
    <w:rsid w:val="00926D87"/>
    <w:rsid w:val="0093129C"/>
    <w:rsid w:val="00936DB0"/>
    <w:rsid w:val="00941F42"/>
    <w:rsid w:val="0094279A"/>
    <w:rsid w:val="00952D49"/>
    <w:rsid w:val="00955734"/>
    <w:rsid w:val="00955DAE"/>
    <w:rsid w:val="00955E75"/>
    <w:rsid w:val="00956B7D"/>
    <w:rsid w:val="00960805"/>
    <w:rsid w:val="0096742C"/>
    <w:rsid w:val="00970D19"/>
    <w:rsid w:val="00976B96"/>
    <w:rsid w:val="00981315"/>
    <w:rsid w:val="0098132E"/>
    <w:rsid w:val="00981C5E"/>
    <w:rsid w:val="00981DD3"/>
    <w:rsid w:val="0098420E"/>
    <w:rsid w:val="00985FA3"/>
    <w:rsid w:val="009967FB"/>
    <w:rsid w:val="009A7765"/>
    <w:rsid w:val="009B1003"/>
    <w:rsid w:val="009B61C5"/>
    <w:rsid w:val="009B68F0"/>
    <w:rsid w:val="009B7F46"/>
    <w:rsid w:val="009C453F"/>
    <w:rsid w:val="009C6BEB"/>
    <w:rsid w:val="009D151F"/>
    <w:rsid w:val="009D1BBA"/>
    <w:rsid w:val="009D7F05"/>
    <w:rsid w:val="009E02D1"/>
    <w:rsid w:val="009E3B01"/>
    <w:rsid w:val="009F0518"/>
    <w:rsid w:val="009F0C9C"/>
    <w:rsid w:val="009F351B"/>
    <w:rsid w:val="009F364C"/>
    <w:rsid w:val="009F55E8"/>
    <w:rsid w:val="00A00983"/>
    <w:rsid w:val="00A0120F"/>
    <w:rsid w:val="00A01DAB"/>
    <w:rsid w:val="00A03A3C"/>
    <w:rsid w:val="00A053F6"/>
    <w:rsid w:val="00A0645D"/>
    <w:rsid w:val="00A15892"/>
    <w:rsid w:val="00A1611F"/>
    <w:rsid w:val="00A20B17"/>
    <w:rsid w:val="00A21427"/>
    <w:rsid w:val="00A22B73"/>
    <w:rsid w:val="00A252D3"/>
    <w:rsid w:val="00A34070"/>
    <w:rsid w:val="00A3478B"/>
    <w:rsid w:val="00A347F8"/>
    <w:rsid w:val="00A43DFC"/>
    <w:rsid w:val="00A45706"/>
    <w:rsid w:val="00A47D3B"/>
    <w:rsid w:val="00A47F64"/>
    <w:rsid w:val="00A57560"/>
    <w:rsid w:val="00A61307"/>
    <w:rsid w:val="00A63626"/>
    <w:rsid w:val="00A64A09"/>
    <w:rsid w:val="00A66F25"/>
    <w:rsid w:val="00A71769"/>
    <w:rsid w:val="00A71E5D"/>
    <w:rsid w:val="00A82063"/>
    <w:rsid w:val="00A822C3"/>
    <w:rsid w:val="00A829AA"/>
    <w:rsid w:val="00A862F5"/>
    <w:rsid w:val="00A91D2B"/>
    <w:rsid w:val="00A93CD0"/>
    <w:rsid w:val="00A96A86"/>
    <w:rsid w:val="00AA6006"/>
    <w:rsid w:val="00AB2980"/>
    <w:rsid w:val="00AB613E"/>
    <w:rsid w:val="00AB735F"/>
    <w:rsid w:val="00AC18CD"/>
    <w:rsid w:val="00AC1B9E"/>
    <w:rsid w:val="00AC3FCD"/>
    <w:rsid w:val="00AC42A8"/>
    <w:rsid w:val="00AC630C"/>
    <w:rsid w:val="00AC6485"/>
    <w:rsid w:val="00AD18F4"/>
    <w:rsid w:val="00AD4E2B"/>
    <w:rsid w:val="00AE1265"/>
    <w:rsid w:val="00AE32B5"/>
    <w:rsid w:val="00AE484D"/>
    <w:rsid w:val="00AE7E24"/>
    <w:rsid w:val="00AF22E8"/>
    <w:rsid w:val="00B01CD4"/>
    <w:rsid w:val="00B02991"/>
    <w:rsid w:val="00B041AA"/>
    <w:rsid w:val="00B103C0"/>
    <w:rsid w:val="00B12256"/>
    <w:rsid w:val="00B14088"/>
    <w:rsid w:val="00B16431"/>
    <w:rsid w:val="00B21ACE"/>
    <w:rsid w:val="00B23128"/>
    <w:rsid w:val="00B27F81"/>
    <w:rsid w:val="00B3268D"/>
    <w:rsid w:val="00B34AB4"/>
    <w:rsid w:val="00B3516D"/>
    <w:rsid w:val="00B37AF1"/>
    <w:rsid w:val="00B40722"/>
    <w:rsid w:val="00B42CBA"/>
    <w:rsid w:val="00B46793"/>
    <w:rsid w:val="00B47024"/>
    <w:rsid w:val="00B47BAC"/>
    <w:rsid w:val="00B53161"/>
    <w:rsid w:val="00B60540"/>
    <w:rsid w:val="00B617BA"/>
    <w:rsid w:val="00B62D00"/>
    <w:rsid w:val="00B62FE3"/>
    <w:rsid w:val="00B631BE"/>
    <w:rsid w:val="00B6372C"/>
    <w:rsid w:val="00B64922"/>
    <w:rsid w:val="00B6548F"/>
    <w:rsid w:val="00B65FF5"/>
    <w:rsid w:val="00B70B14"/>
    <w:rsid w:val="00B728C0"/>
    <w:rsid w:val="00B753D4"/>
    <w:rsid w:val="00B75749"/>
    <w:rsid w:val="00B7576E"/>
    <w:rsid w:val="00B80795"/>
    <w:rsid w:val="00B81911"/>
    <w:rsid w:val="00B824C8"/>
    <w:rsid w:val="00B842F5"/>
    <w:rsid w:val="00B85C60"/>
    <w:rsid w:val="00B8732F"/>
    <w:rsid w:val="00B94ED4"/>
    <w:rsid w:val="00B96646"/>
    <w:rsid w:val="00B968C9"/>
    <w:rsid w:val="00B972B2"/>
    <w:rsid w:val="00BA73B2"/>
    <w:rsid w:val="00BA7E0C"/>
    <w:rsid w:val="00BB1332"/>
    <w:rsid w:val="00BB4A01"/>
    <w:rsid w:val="00BB626E"/>
    <w:rsid w:val="00BC05DE"/>
    <w:rsid w:val="00BC1136"/>
    <w:rsid w:val="00BC257C"/>
    <w:rsid w:val="00BC3904"/>
    <w:rsid w:val="00BC6CEE"/>
    <w:rsid w:val="00BD09C1"/>
    <w:rsid w:val="00BD23D7"/>
    <w:rsid w:val="00BD3E0C"/>
    <w:rsid w:val="00BD43D3"/>
    <w:rsid w:val="00BD73BA"/>
    <w:rsid w:val="00BE073D"/>
    <w:rsid w:val="00BE163B"/>
    <w:rsid w:val="00BF2641"/>
    <w:rsid w:val="00BF27C1"/>
    <w:rsid w:val="00BF7CD4"/>
    <w:rsid w:val="00C0083C"/>
    <w:rsid w:val="00C017A2"/>
    <w:rsid w:val="00C1103E"/>
    <w:rsid w:val="00C121BB"/>
    <w:rsid w:val="00C14122"/>
    <w:rsid w:val="00C14544"/>
    <w:rsid w:val="00C160B3"/>
    <w:rsid w:val="00C17D6E"/>
    <w:rsid w:val="00C20531"/>
    <w:rsid w:val="00C23977"/>
    <w:rsid w:val="00C2445F"/>
    <w:rsid w:val="00C30052"/>
    <w:rsid w:val="00C320FB"/>
    <w:rsid w:val="00C4235E"/>
    <w:rsid w:val="00C44FD9"/>
    <w:rsid w:val="00C452F1"/>
    <w:rsid w:val="00C46389"/>
    <w:rsid w:val="00C47B9E"/>
    <w:rsid w:val="00C52092"/>
    <w:rsid w:val="00C52D0E"/>
    <w:rsid w:val="00C563D5"/>
    <w:rsid w:val="00C57ADF"/>
    <w:rsid w:val="00C615EE"/>
    <w:rsid w:val="00C6290E"/>
    <w:rsid w:val="00C63194"/>
    <w:rsid w:val="00C65E2D"/>
    <w:rsid w:val="00C67DC3"/>
    <w:rsid w:val="00C7097E"/>
    <w:rsid w:val="00C71589"/>
    <w:rsid w:val="00C745F6"/>
    <w:rsid w:val="00C756FD"/>
    <w:rsid w:val="00C8312F"/>
    <w:rsid w:val="00CA4B0E"/>
    <w:rsid w:val="00CC2500"/>
    <w:rsid w:val="00CC38FB"/>
    <w:rsid w:val="00CD17B0"/>
    <w:rsid w:val="00CD3157"/>
    <w:rsid w:val="00CD3697"/>
    <w:rsid w:val="00CE57AA"/>
    <w:rsid w:val="00CF2288"/>
    <w:rsid w:val="00CF500E"/>
    <w:rsid w:val="00CF64F5"/>
    <w:rsid w:val="00D018B2"/>
    <w:rsid w:val="00D04898"/>
    <w:rsid w:val="00D05AE4"/>
    <w:rsid w:val="00D13422"/>
    <w:rsid w:val="00D138B2"/>
    <w:rsid w:val="00D15073"/>
    <w:rsid w:val="00D164F9"/>
    <w:rsid w:val="00D307D5"/>
    <w:rsid w:val="00D3185E"/>
    <w:rsid w:val="00D3211F"/>
    <w:rsid w:val="00D3524B"/>
    <w:rsid w:val="00D4106D"/>
    <w:rsid w:val="00D47574"/>
    <w:rsid w:val="00D5131D"/>
    <w:rsid w:val="00D53478"/>
    <w:rsid w:val="00D55969"/>
    <w:rsid w:val="00D57232"/>
    <w:rsid w:val="00D613C0"/>
    <w:rsid w:val="00D62A8F"/>
    <w:rsid w:val="00D62EFB"/>
    <w:rsid w:val="00D630E8"/>
    <w:rsid w:val="00D63B0C"/>
    <w:rsid w:val="00D74FC7"/>
    <w:rsid w:val="00D75D73"/>
    <w:rsid w:val="00D77F67"/>
    <w:rsid w:val="00D81826"/>
    <w:rsid w:val="00D83993"/>
    <w:rsid w:val="00D86B5C"/>
    <w:rsid w:val="00D91A11"/>
    <w:rsid w:val="00D92F88"/>
    <w:rsid w:val="00D94C15"/>
    <w:rsid w:val="00D950F6"/>
    <w:rsid w:val="00D9535D"/>
    <w:rsid w:val="00D95B3B"/>
    <w:rsid w:val="00D97EDE"/>
    <w:rsid w:val="00DC6BDF"/>
    <w:rsid w:val="00DD198E"/>
    <w:rsid w:val="00DD1F03"/>
    <w:rsid w:val="00DD4264"/>
    <w:rsid w:val="00DD6657"/>
    <w:rsid w:val="00DD6AA5"/>
    <w:rsid w:val="00DD7DB8"/>
    <w:rsid w:val="00DE0016"/>
    <w:rsid w:val="00DE2757"/>
    <w:rsid w:val="00DE28B6"/>
    <w:rsid w:val="00DE4F4E"/>
    <w:rsid w:val="00DE643D"/>
    <w:rsid w:val="00DE6B97"/>
    <w:rsid w:val="00DF154D"/>
    <w:rsid w:val="00DF2B17"/>
    <w:rsid w:val="00DF2BE9"/>
    <w:rsid w:val="00DF5749"/>
    <w:rsid w:val="00E00227"/>
    <w:rsid w:val="00E037AB"/>
    <w:rsid w:val="00E06465"/>
    <w:rsid w:val="00E1609A"/>
    <w:rsid w:val="00E2083B"/>
    <w:rsid w:val="00E20D5F"/>
    <w:rsid w:val="00E2292A"/>
    <w:rsid w:val="00E3140E"/>
    <w:rsid w:val="00E317B1"/>
    <w:rsid w:val="00E32DEE"/>
    <w:rsid w:val="00E35663"/>
    <w:rsid w:val="00E47E49"/>
    <w:rsid w:val="00E55153"/>
    <w:rsid w:val="00E5739E"/>
    <w:rsid w:val="00E6250B"/>
    <w:rsid w:val="00E664C5"/>
    <w:rsid w:val="00E703B5"/>
    <w:rsid w:val="00E74681"/>
    <w:rsid w:val="00E7473F"/>
    <w:rsid w:val="00E76F14"/>
    <w:rsid w:val="00E82423"/>
    <w:rsid w:val="00E83C49"/>
    <w:rsid w:val="00E87E08"/>
    <w:rsid w:val="00E944E6"/>
    <w:rsid w:val="00E94637"/>
    <w:rsid w:val="00EA4A4F"/>
    <w:rsid w:val="00EA4D4F"/>
    <w:rsid w:val="00EA6197"/>
    <w:rsid w:val="00EA70D1"/>
    <w:rsid w:val="00EB04FF"/>
    <w:rsid w:val="00EB267D"/>
    <w:rsid w:val="00EB4823"/>
    <w:rsid w:val="00EC1104"/>
    <w:rsid w:val="00EC3034"/>
    <w:rsid w:val="00EC3186"/>
    <w:rsid w:val="00EC7D6A"/>
    <w:rsid w:val="00ED6615"/>
    <w:rsid w:val="00ED66A6"/>
    <w:rsid w:val="00EE078C"/>
    <w:rsid w:val="00EE5711"/>
    <w:rsid w:val="00EE5FB9"/>
    <w:rsid w:val="00EE7040"/>
    <w:rsid w:val="00EF0216"/>
    <w:rsid w:val="00EF207D"/>
    <w:rsid w:val="00EF6D2F"/>
    <w:rsid w:val="00EF782A"/>
    <w:rsid w:val="00EF7FC1"/>
    <w:rsid w:val="00F01C71"/>
    <w:rsid w:val="00F030F5"/>
    <w:rsid w:val="00F03447"/>
    <w:rsid w:val="00F07ADB"/>
    <w:rsid w:val="00F170E3"/>
    <w:rsid w:val="00F255FE"/>
    <w:rsid w:val="00F257F0"/>
    <w:rsid w:val="00F272A2"/>
    <w:rsid w:val="00F30080"/>
    <w:rsid w:val="00F440C5"/>
    <w:rsid w:val="00F44C3A"/>
    <w:rsid w:val="00F45C1C"/>
    <w:rsid w:val="00F46E8C"/>
    <w:rsid w:val="00F47F94"/>
    <w:rsid w:val="00F5401A"/>
    <w:rsid w:val="00F56D3C"/>
    <w:rsid w:val="00F57C38"/>
    <w:rsid w:val="00F625D4"/>
    <w:rsid w:val="00F65A66"/>
    <w:rsid w:val="00F7461E"/>
    <w:rsid w:val="00F76D1D"/>
    <w:rsid w:val="00F772F6"/>
    <w:rsid w:val="00F77CA2"/>
    <w:rsid w:val="00F80451"/>
    <w:rsid w:val="00F81067"/>
    <w:rsid w:val="00F866C7"/>
    <w:rsid w:val="00F90375"/>
    <w:rsid w:val="00F91B2C"/>
    <w:rsid w:val="00F92B84"/>
    <w:rsid w:val="00F962BD"/>
    <w:rsid w:val="00FB16ED"/>
    <w:rsid w:val="00FB45B6"/>
    <w:rsid w:val="00FC1C8C"/>
    <w:rsid w:val="00FC2721"/>
    <w:rsid w:val="00FC3C73"/>
    <w:rsid w:val="00FC40AB"/>
    <w:rsid w:val="00FC4C62"/>
    <w:rsid w:val="00FC726E"/>
    <w:rsid w:val="00FD009A"/>
    <w:rsid w:val="00FD141D"/>
    <w:rsid w:val="00FD1F1A"/>
    <w:rsid w:val="00FD23C8"/>
    <w:rsid w:val="00FD3832"/>
    <w:rsid w:val="00FD5110"/>
    <w:rsid w:val="00FD5623"/>
    <w:rsid w:val="00FD5C2F"/>
    <w:rsid w:val="00FD621C"/>
    <w:rsid w:val="00FE2420"/>
    <w:rsid w:val="00FF7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7DA9"/>
  <w15:chartTrackingRefBased/>
  <w15:docId w15:val="{4E7795E1-54FB-4078-8F17-96A43AB9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53"/>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892553"/>
    <w:pPr>
      <w:keepNext/>
      <w:keepLines/>
      <w:spacing w:before="360" w:after="40" w:line="240" w:lineRule="auto"/>
      <w:outlineLvl w:val="0"/>
    </w:pPr>
    <w:rPr>
      <w:rFonts w:asciiTheme="majorHAnsi" w:eastAsiaTheme="majorEastAsia" w:hAnsiTheme="majorHAnsi" w:cstheme="majorBidi"/>
      <w:color w:val="002060"/>
      <w:sz w:val="40"/>
      <w:szCs w:val="40"/>
    </w:rPr>
  </w:style>
  <w:style w:type="paragraph" w:styleId="Heading2">
    <w:name w:val="heading 2"/>
    <w:basedOn w:val="Normal"/>
    <w:next w:val="Normal"/>
    <w:link w:val="Heading2Char"/>
    <w:uiPriority w:val="9"/>
    <w:unhideWhenUsed/>
    <w:qFormat/>
    <w:rsid w:val="007167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53"/>
    <w:rPr>
      <w:rFonts w:asciiTheme="majorHAnsi" w:eastAsiaTheme="majorEastAsia" w:hAnsiTheme="majorHAnsi" w:cstheme="majorBidi"/>
      <w:color w:val="002060"/>
      <w:sz w:val="40"/>
      <w:szCs w:val="40"/>
    </w:rPr>
  </w:style>
  <w:style w:type="paragraph" w:styleId="Title">
    <w:name w:val="Title"/>
    <w:basedOn w:val="Normal"/>
    <w:next w:val="Normal"/>
    <w:link w:val="TitleChar"/>
    <w:uiPriority w:val="10"/>
    <w:qFormat/>
    <w:rsid w:val="0089255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92553"/>
    <w:rPr>
      <w:rFonts w:asciiTheme="majorHAnsi" w:eastAsiaTheme="majorEastAsia" w:hAnsiTheme="majorHAnsi" w:cstheme="majorBidi"/>
      <w:color w:val="262626" w:themeColor="text1" w:themeTint="D9"/>
      <w:spacing w:val="-15"/>
      <w:sz w:val="96"/>
      <w:szCs w:val="96"/>
    </w:rPr>
  </w:style>
  <w:style w:type="paragraph" w:styleId="TOC1">
    <w:name w:val="toc 1"/>
    <w:basedOn w:val="Normal"/>
    <w:next w:val="Normal"/>
    <w:autoRedefine/>
    <w:uiPriority w:val="39"/>
    <w:unhideWhenUsed/>
    <w:rsid w:val="00892553"/>
    <w:pPr>
      <w:spacing w:after="100"/>
    </w:pPr>
  </w:style>
  <w:style w:type="paragraph" w:styleId="TOC2">
    <w:name w:val="toc 2"/>
    <w:basedOn w:val="Normal"/>
    <w:next w:val="Normal"/>
    <w:autoRedefine/>
    <w:uiPriority w:val="39"/>
    <w:unhideWhenUsed/>
    <w:rsid w:val="00892553"/>
    <w:pPr>
      <w:spacing w:after="100"/>
      <w:ind w:left="220"/>
    </w:pPr>
  </w:style>
  <w:style w:type="character" w:styleId="Hyperlink">
    <w:name w:val="Hyperlink"/>
    <w:basedOn w:val="DefaultParagraphFont"/>
    <w:uiPriority w:val="99"/>
    <w:unhideWhenUsed/>
    <w:rsid w:val="00892553"/>
    <w:rPr>
      <w:color w:val="0563C1" w:themeColor="hyperlink"/>
      <w:u w:val="single"/>
    </w:rPr>
  </w:style>
  <w:style w:type="paragraph" w:styleId="Subtitle">
    <w:name w:val="Subtitle"/>
    <w:basedOn w:val="Normal"/>
    <w:next w:val="Normal"/>
    <w:link w:val="SubtitleChar"/>
    <w:uiPriority w:val="11"/>
    <w:qFormat/>
    <w:rsid w:val="0089255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92553"/>
    <w:rPr>
      <w:rFonts w:asciiTheme="majorHAnsi" w:eastAsiaTheme="majorEastAsia" w:hAnsiTheme="majorHAnsi" w:cstheme="majorBidi"/>
      <w:sz w:val="30"/>
      <w:szCs w:val="30"/>
    </w:rPr>
  </w:style>
  <w:style w:type="paragraph" w:styleId="NoSpacing">
    <w:name w:val="No Spacing"/>
    <w:uiPriority w:val="1"/>
    <w:qFormat/>
    <w:rsid w:val="00892553"/>
    <w:pPr>
      <w:spacing w:after="0" w:line="240" w:lineRule="auto"/>
    </w:pPr>
    <w:rPr>
      <w:rFonts w:eastAsiaTheme="minorEastAsia"/>
      <w:sz w:val="21"/>
      <w:szCs w:val="21"/>
    </w:rPr>
  </w:style>
  <w:style w:type="paragraph" w:styleId="Header">
    <w:name w:val="header"/>
    <w:basedOn w:val="Normal"/>
    <w:link w:val="HeaderChar"/>
    <w:uiPriority w:val="99"/>
    <w:unhideWhenUsed/>
    <w:rsid w:val="00892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553"/>
    <w:rPr>
      <w:rFonts w:eastAsiaTheme="minorEastAsia"/>
      <w:sz w:val="21"/>
      <w:szCs w:val="21"/>
    </w:rPr>
  </w:style>
  <w:style w:type="paragraph" w:styleId="Footer">
    <w:name w:val="footer"/>
    <w:basedOn w:val="Normal"/>
    <w:link w:val="FooterChar"/>
    <w:uiPriority w:val="99"/>
    <w:unhideWhenUsed/>
    <w:rsid w:val="00892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553"/>
    <w:rPr>
      <w:rFonts w:eastAsiaTheme="minorEastAsia"/>
      <w:sz w:val="21"/>
      <w:szCs w:val="21"/>
    </w:rPr>
  </w:style>
  <w:style w:type="paragraph" w:styleId="ListParagraph">
    <w:name w:val="List Paragraph"/>
    <w:basedOn w:val="Normal"/>
    <w:uiPriority w:val="34"/>
    <w:qFormat/>
    <w:rsid w:val="00724FB6"/>
    <w:pPr>
      <w:ind w:left="720"/>
      <w:contextualSpacing/>
    </w:pPr>
  </w:style>
  <w:style w:type="character" w:styleId="CommentReference">
    <w:name w:val="annotation reference"/>
    <w:basedOn w:val="DefaultParagraphFont"/>
    <w:uiPriority w:val="99"/>
    <w:semiHidden/>
    <w:unhideWhenUsed/>
    <w:rsid w:val="00662991"/>
    <w:rPr>
      <w:sz w:val="16"/>
      <w:szCs w:val="16"/>
    </w:rPr>
  </w:style>
  <w:style w:type="paragraph" w:styleId="CommentText">
    <w:name w:val="annotation text"/>
    <w:basedOn w:val="Normal"/>
    <w:link w:val="CommentTextChar"/>
    <w:uiPriority w:val="99"/>
    <w:unhideWhenUsed/>
    <w:rsid w:val="00662991"/>
    <w:pPr>
      <w:spacing w:line="240" w:lineRule="auto"/>
    </w:pPr>
    <w:rPr>
      <w:sz w:val="20"/>
      <w:szCs w:val="20"/>
    </w:rPr>
  </w:style>
  <w:style w:type="character" w:customStyle="1" w:styleId="CommentTextChar">
    <w:name w:val="Comment Text Char"/>
    <w:basedOn w:val="DefaultParagraphFont"/>
    <w:link w:val="CommentText"/>
    <w:uiPriority w:val="99"/>
    <w:rsid w:val="0066299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2991"/>
    <w:rPr>
      <w:b/>
      <w:bCs/>
    </w:rPr>
  </w:style>
  <w:style w:type="character" w:customStyle="1" w:styleId="CommentSubjectChar">
    <w:name w:val="Comment Subject Char"/>
    <w:basedOn w:val="CommentTextChar"/>
    <w:link w:val="CommentSubject"/>
    <w:uiPriority w:val="99"/>
    <w:semiHidden/>
    <w:rsid w:val="00662991"/>
    <w:rPr>
      <w:rFonts w:eastAsiaTheme="minorEastAsia"/>
      <w:b/>
      <w:bCs/>
      <w:sz w:val="20"/>
      <w:szCs w:val="20"/>
    </w:rPr>
  </w:style>
  <w:style w:type="paragraph" w:customStyle="1" w:styleId="Default">
    <w:name w:val="Default"/>
    <w:rsid w:val="00E87E08"/>
    <w:pPr>
      <w:autoSpaceDE w:val="0"/>
      <w:autoSpaceDN w:val="0"/>
      <w:adjustRightInd w:val="0"/>
      <w:spacing w:after="0" w:line="240" w:lineRule="auto"/>
    </w:pPr>
    <w:rPr>
      <w:rFonts w:ascii="VIC" w:hAnsi="VIC" w:cs="VIC"/>
      <w:color w:val="000000"/>
      <w:sz w:val="24"/>
      <w:szCs w:val="24"/>
    </w:rPr>
  </w:style>
  <w:style w:type="character" w:customStyle="1" w:styleId="Heading2Char">
    <w:name w:val="Heading 2 Char"/>
    <w:basedOn w:val="DefaultParagraphFont"/>
    <w:link w:val="Heading2"/>
    <w:uiPriority w:val="9"/>
    <w:rsid w:val="0071679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312F"/>
    <w:rPr>
      <w:color w:val="605E5C"/>
      <w:shd w:val="clear" w:color="auto" w:fill="E1DFDD"/>
    </w:rPr>
  </w:style>
  <w:style w:type="paragraph" w:styleId="Revision">
    <w:name w:val="Revision"/>
    <w:hidden/>
    <w:uiPriority w:val="99"/>
    <w:semiHidden/>
    <w:rsid w:val="00B62FE3"/>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9A7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843196">
      <w:bodyDiv w:val="1"/>
      <w:marLeft w:val="0"/>
      <w:marRight w:val="0"/>
      <w:marTop w:val="0"/>
      <w:marBottom w:val="0"/>
      <w:divBdr>
        <w:top w:val="none" w:sz="0" w:space="0" w:color="auto"/>
        <w:left w:val="none" w:sz="0" w:space="0" w:color="auto"/>
        <w:bottom w:val="none" w:sz="0" w:space="0" w:color="auto"/>
        <w:right w:val="none" w:sz="0" w:space="0" w:color="auto"/>
      </w:divBdr>
    </w:div>
    <w:div w:id="2062093688">
      <w:bodyDiv w:val="1"/>
      <w:marLeft w:val="0"/>
      <w:marRight w:val="0"/>
      <w:marTop w:val="0"/>
      <w:marBottom w:val="0"/>
      <w:divBdr>
        <w:top w:val="none" w:sz="0" w:space="0" w:color="auto"/>
        <w:left w:val="none" w:sz="0" w:space="0" w:color="auto"/>
        <w:bottom w:val="none" w:sz="0" w:space="0" w:color="auto"/>
        <w:right w:val="none" w:sz="0" w:space="0" w:color="auto"/>
      </w:divBdr>
    </w:div>
    <w:div w:id="21062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gov.au/en/economic-analysis/tourism-foreca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4631</Words>
  <Characters>25104</Characters>
  <Application>Microsoft Office Word</Application>
  <DocSecurity>0</DocSecurity>
  <Lines>929</Lines>
  <Paragraphs>825</Paragraphs>
  <ScaleCrop>false</ScaleCrop>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Forecasts 2024-2029</dc:title>
  <dc:subject/>
  <dc:creator>Philippa D Hamilton (DJSIR)</dc:creator>
  <cp:keywords/>
  <dc:description/>
  <cp:lastModifiedBy>Jacinta M Hurst (DJSIR)</cp:lastModifiedBy>
  <cp:revision>4</cp:revision>
  <dcterms:created xsi:type="dcterms:W3CDTF">2024-12-03T03:45:00Z</dcterms:created>
  <dcterms:modified xsi:type="dcterms:W3CDTF">2024-12-03T06:27:00Z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2023-12-03T21:30:04Z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a372b541-37d0-4de1-8075-154837c3a471</vt:lpwstr>
  </property>
  <property fmtid="{D5CDD505-2E9C-101B-9397-08002B2CF9AE}" pid="8" name="MSIP_Label_d00a4df9-c942-4b09-b23a-6c1023f6de27_ContentBits">
    <vt:lpwstr>3</vt:lpwstr>
  </property>
</Properties>
</file>