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5A73C" w14:textId="75A6B8A9" w:rsidR="00E37A04" w:rsidRPr="00924FEB" w:rsidRDefault="00F27280" w:rsidP="008618CD">
      <w:pPr>
        <w:pStyle w:val="Title"/>
        <w:rPr>
          <w:rFonts w:ascii="Arial" w:hAnsi="Arial" w:cs="Arial"/>
          <w:sz w:val="52"/>
          <w:szCs w:val="52"/>
        </w:rPr>
      </w:pPr>
      <w:r w:rsidRPr="00924FEB">
        <w:rPr>
          <w:rFonts w:ascii="Arial" w:hAnsi="Arial" w:cs="Arial"/>
          <w:sz w:val="52"/>
          <w:szCs w:val="52"/>
        </w:rPr>
        <w:t>Victoria’s Accommodation Sector</w:t>
      </w:r>
      <w:r w:rsidR="00C73F69" w:rsidRPr="00924FEB">
        <w:rPr>
          <w:rFonts w:ascii="Arial" w:hAnsi="Arial" w:cs="Arial"/>
          <w:sz w:val="52"/>
          <w:szCs w:val="52"/>
        </w:rPr>
        <w:t xml:space="preserve"> </w:t>
      </w:r>
      <w:r w:rsidR="00DD2443" w:rsidRPr="00924FEB">
        <w:rPr>
          <w:rFonts w:ascii="Arial" w:hAnsi="Arial" w:cs="Arial"/>
          <w:sz w:val="52"/>
          <w:szCs w:val="52"/>
        </w:rPr>
        <w:t>202</w:t>
      </w:r>
      <w:r w:rsidR="008618CD" w:rsidRPr="00924FEB">
        <w:rPr>
          <w:rFonts w:ascii="Arial" w:hAnsi="Arial" w:cs="Arial"/>
          <w:sz w:val="52"/>
          <w:szCs w:val="52"/>
        </w:rPr>
        <w:t>3</w:t>
      </w:r>
      <w:r w:rsidR="00DD2443" w:rsidRPr="00924FEB">
        <w:rPr>
          <w:rFonts w:ascii="Arial" w:hAnsi="Arial" w:cs="Arial"/>
          <w:sz w:val="52"/>
          <w:szCs w:val="52"/>
        </w:rPr>
        <w:t>-2</w:t>
      </w:r>
      <w:r w:rsidR="008618CD" w:rsidRPr="00924FEB">
        <w:rPr>
          <w:rFonts w:ascii="Arial" w:hAnsi="Arial" w:cs="Arial"/>
          <w:sz w:val="52"/>
          <w:szCs w:val="52"/>
        </w:rPr>
        <w:t>4</w:t>
      </w:r>
      <w:r w:rsidR="00DD2443" w:rsidRPr="00924FEB">
        <w:rPr>
          <w:rFonts w:ascii="Arial" w:hAnsi="Arial" w:cs="Arial"/>
          <w:sz w:val="52"/>
          <w:szCs w:val="52"/>
        </w:rPr>
        <w:t xml:space="preserve"> </w:t>
      </w:r>
    </w:p>
    <w:p w14:paraId="6CDFD31D" w14:textId="77777777" w:rsidR="005862AF" w:rsidRPr="005862AF" w:rsidRDefault="005862AF" w:rsidP="005862AF">
      <w:pPr>
        <w:rPr>
          <w:rFonts w:ascii="Arial" w:hAnsi="Arial" w:cs="Arial"/>
          <w:sz w:val="2"/>
          <w:szCs w:val="2"/>
        </w:rPr>
      </w:pPr>
      <w:bookmarkStart w:id="0" w:name="_Toc133227909"/>
      <w:bookmarkStart w:id="1" w:name="_Toc133231686"/>
      <w:bookmarkStart w:id="2" w:name="_Toc135746372"/>
      <w:bookmarkStart w:id="3" w:name="_Toc135763755"/>
      <w:bookmarkStart w:id="4" w:name="_Toc135764030"/>
      <w:bookmarkStart w:id="5" w:name="_Toc135764665"/>
      <w:bookmarkStart w:id="6" w:name="_Toc135764899"/>
      <w:bookmarkStart w:id="7" w:name="_Toc136002061"/>
      <w:bookmarkStart w:id="8" w:name="_Toc136012317"/>
      <w:bookmarkStart w:id="9" w:name="_Toc142653729"/>
      <w:bookmarkStart w:id="10" w:name="_Toc143600585"/>
      <w:bookmarkStart w:id="11" w:name="_Toc143609553"/>
      <w:bookmarkStart w:id="12" w:name="_Toc148963702"/>
      <w:bookmarkStart w:id="13" w:name="_Toc180499055"/>
      <w:bookmarkStart w:id="14" w:name="_Toc180499416"/>
    </w:p>
    <w:p w14:paraId="0848A8EF" w14:textId="7093B050" w:rsidR="005862AF" w:rsidRPr="005862AF" w:rsidRDefault="005862AF" w:rsidP="005862AF">
      <w:pPr>
        <w:rPr>
          <w:rFonts w:ascii="Arial" w:hAnsi="Arial" w:cs="Arial"/>
        </w:rPr>
      </w:pPr>
      <w:r w:rsidRPr="005862AF">
        <w:rPr>
          <w:rFonts w:ascii="Arial" w:hAnsi="Arial" w:cs="Arial"/>
        </w:rPr>
        <w:t>Results from the Australian Accommodation Monitor (properties 10+ rooms)</w:t>
      </w:r>
    </w:p>
    <w:p w14:paraId="2CB2BAE7" w14:textId="45DB473C" w:rsidR="001337E2" w:rsidRPr="003E5D1A" w:rsidRDefault="007546C9" w:rsidP="00284D2D">
      <w:pPr>
        <w:pStyle w:val="Heading1"/>
        <w:rPr>
          <w:rFonts w:ascii="Arial" w:hAnsi="Arial" w:cs="Arial"/>
          <w:color w:val="002060"/>
        </w:rPr>
      </w:pPr>
      <w:r w:rsidRPr="00924FEB">
        <w:rPr>
          <w:rFonts w:ascii="Arial" w:hAnsi="Arial" w:cs="Arial"/>
          <w:color w:val="002060"/>
        </w:rPr>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1337E2">
        <w:rPr>
          <w:rFonts w:ascii="Arial" w:hAnsi="Arial" w:cs="Arial"/>
          <w:color w:val="auto"/>
          <w:sz w:val="21"/>
          <w:szCs w:val="21"/>
        </w:rPr>
        <w:fldChar w:fldCharType="begin"/>
      </w:r>
      <w:r w:rsidRPr="001337E2">
        <w:rPr>
          <w:rFonts w:ascii="Arial" w:hAnsi="Arial" w:cs="Arial"/>
        </w:rPr>
        <w:instrText xml:space="preserve"> TOC \o "1-2" \h \z \u </w:instrText>
      </w:r>
      <w:r w:rsidRPr="001337E2">
        <w:rPr>
          <w:rFonts w:ascii="Arial" w:hAnsi="Arial" w:cs="Arial"/>
          <w:color w:val="auto"/>
          <w:sz w:val="21"/>
          <w:szCs w:val="21"/>
        </w:rPr>
        <w:fldChar w:fldCharType="separate"/>
      </w:r>
    </w:p>
    <w:p w14:paraId="54B5F751" w14:textId="01A56D72" w:rsidR="001337E2" w:rsidRPr="001337E2" w:rsidRDefault="00AE68EA">
      <w:pPr>
        <w:pStyle w:val="TOC1"/>
        <w:tabs>
          <w:tab w:val="left" w:pos="720"/>
          <w:tab w:val="right" w:leader="dot" w:pos="9771"/>
        </w:tabs>
        <w:rPr>
          <w:rFonts w:ascii="Arial" w:hAnsi="Arial" w:cs="Arial"/>
          <w:noProof/>
          <w:kern w:val="2"/>
          <w:sz w:val="24"/>
          <w:szCs w:val="24"/>
          <w:lang w:eastAsia="en-AU"/>
          <w14:ligatures w14:val="standardContextual"/>
        </w:rPr>
      </w:pPr>
      <w:hyperlink w:anchor="_Toc180499417" w:history="1">
        <w:r w:rsidR="001337E2" w:rsidRPr="001337E2">
          <w:rPr>
            <w:rStyle w:val="Hyperlink"/>
            <w:rFonts w:ascii="Arial" w:hAnsi="Arial" w:cs="Arial"/>
            <w:noProof/>
          </w:rPr>
          <w:t>1.0</w:t>
        </w:r>
        <w:r w:rsidR="001337E2" w:rsidRPr="001337E2">
          <w:rPr>
            <w:rFonts w:ascii="Arial" w:hAnsi="Arial" w:cs="Arial"/>
            <w:noProof/>
            <w:kern w:val="2"/>
            <w:sz w:val="24"/>
            <w:szCs w:val="24"/>
            <w:lang w:eastAsia="en-AU"/>
            <w14:ligatures w14:val="standardContextual"/>
          </w:rPr>
          <w:t xml:space="preserve"> </w:t>
        </w:r>
        <w:r w:rsidR="001337E2" w:rsidRPr="001337E2">
          <w:rPr>
            <w:rStyle w:val="Hyperlink"/>
            <w:rFonts w:ascii="Arial" w:hAnsi="Arial" w:cs="Arial"/>
            <w:noProof/>
          </w:rPr>
          <w:t>Key results for Victoria</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_Toc180499417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2</w:t>
        </w:r>
        <w:r w:rsidR="001337E2" w:rsidRPr="001337E2">
          <w:rPr>
            <w:rFonts w:ascii="Arial" w:hAnsi="Arial" w:cs="Arial"/>
            <w:noProof/>
            <w:webHidden/>
          </w:rPr>
          <w:fldChar w:fldCharType="end"/>
        </w:r>
      </w:hyperlink>
    </w:p>
    <w:p w14:paraId="63DDC53A" w14:textId="60EA8826"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18" w:history="1">
        <w:r w:rsidR="001337E2" w:rsidRPr="001337E2">
          <w:rPr>
            <w:rStyle w:val="Hyperlink"/>
            <w:rFonts w:ascii="Arial" w:hAnsi="Arial" w:cs="Arial"/>
            <w:noProof/>
          </w:rPr>
          <w:t>1.1 Revenue</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_Toc180499418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2</w:t>
        </w:r>
        <w:r w:rsidR="001337E2" w:rsidRPr="001337E2">
          <w:rPr>
            <w:rFonts w:ascii="Arial" w:hAnsi="Arial" w:cs="Arial"/>
            <w:noProof/>
            <w:webHidden/>
          </w:rPr>
          <w:fldChar w:fldCharType="end"/>
        </w:r>
      </w:hyperlink>
    </w:p>
    <w:p w14:paraId="4DE42400" w14:textId="69BA3F79"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19" w:history="1">
        <w:r w:rsidR="001337E2" w:rsidRPr="001337E2">
          <w:rPr>
            <w:rStyle w:val="Hyperlink"/>
            <w:rFonts w:ascii="Arial" w:hAnsi="Arial" w:cs="Arial"/>
            <w:noProof/>
          </w:rPr>
          <w:t>1.2 Room nights occupied</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_Toc180499419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2</w:t>
        </w:r>
        <w:r w:rsidR="001337E2" w:rsidRPr="001337E2">
          <w:rPr>
            <w:rFonts w:ascii="Arial" w:hAnsi="Arial" w:cs="Arial"/>
            <w:noProof/>
            <w:webHidden/>
          </w:rPr>
          <w:fldChar w:fldCharType="end"/>
        </w:r>
      </w:hyperlink>
    </w:p>
    <w:p w14:paraId="4445FD59" w14:textId="13F143D6"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20" w:history="1">
        <w:r w:rsidR="001337E2" w:rsidRPr="001337E2">
          <w:rPr>
            <w:rStyle w:val="Hyperlink"/>
            <w:rFonts w:ascii="Arial" w:hAnsi="Arial" w:cs="Arial"/>
            <w:noProof/>
          </w:rPr>
          <w:t>1.3 Revenue per available room or RevPAR</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_Toc180499420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2</w:t>
        </w:r>
        <w:r w:rsidR="001337E2" w:rsidRPr="001337E2">
          <w:rPr>
            <w:rFonts w:ascii="Arial" w:hAnsi="Arial" w:cs="Arial"/>
            <w:noProof/>
            <w:webHidden/>
          </w:rPr>
          <w:fldChar w:fldCharType="end"/>
        </w:r>
      </w:hyperlink>
    </w:p>
    <w:p w14:paraId="4C152802" w14:textId="63C05EE9"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21" w:history="1">
        <w:r w:rsidR="001337E2" w:rsidRPr="001337E2">
          <w:rPr>
            <w:rStyle w:val="Hyperlink"/>
            <w:rFonts w:ascii="Arial" w:hAnsi="Arial" w:cs="Arial"/>
            <w:noProof/>
          </w:rPr>
          <w:t>1.4 Occupancy</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_Toc180499421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2</w:t>
        </w:r>
        <w:r w:rsidR="001337E2" w:rsidRPr="001337E2">
          <w:rPr>
            <w:rFonts w:ascii="Arial" w:hAnsi="Arial" w:cs="Arial"/>
            <w:noProof/>
            <w:webHidden/>
          </w:rPr>
          <w:fldChar w:fldCharType="end"/>
        </w:r>
      </w:hyperlink>
    </w:p>
    <w:p w14:paraId="62ACA50C" w14:textId="0E5D0D90" w:rsidR="001337E2" w:rsidRPr="001337E2" w:rsidRDefault="00AE68EA">
      <w:pPr>
        <w:pStyle w:val="TOC1"/>
        <w:tabs>
          <w:tab w:val="right" w:leader="dot" w:pos="9771"/>
        </w:tabs>
        <w:rPr>
          <w:rFonts w:ascii="Arial" w:hAnsi="Arial" w:cs="Arial"/>
          <w:noProof/>
          <w:kern w:val="2"/>
          <w:sz w:val="24"/>
          <w:szCs w:val="24"/>
          <w:lang w:eastAsia="en-AU"/>
          <w14:ligatures w14:val="standardContextual"/>
        </w:rPr>
      </w:pPr>
      <w:hyperlink w:anchor="_Toc180499422" w:history="1">
        <w:r w:rsidR="001337E2" w:rsidRPr="001337E2">
          <w:rPr>
            <w:rStyle w:val="Hyperlink"/>
            <w:rFonts w:ascii="Arial" w:hAnsi="Arial" w:cs="Arial"/>
            <w:noProof/>
          </w:rPr>
          <w:t>2.0 Luxury and upper upscale class accommodation</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_Toc180499422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2</w:t>
        </w:r>
        <w:r w:rsidR="001337E2" w:rsidRPr="001337E2">
          <w:rPr>
            <w:rFonts w:ascii="Arial" w:hAnsi="Arial" w:cs="Arial"/>
            <w:noProof/>
            <w:webHidden/>
          </w:rPr>
          <w:fldChar w:fldCharType="end"/>
        </w:r>
      </w:hyperlink>
    </w:p>
    <w:p w14:paraId="1444B2C6" w14:textId="3C497A9A" w:rsidR="001337E2" w:rsidRPr="001337E2" w:rsidRDefault="00AE68EA">
      <w:pPr>
        <w:pStyle w:val="TOC1"/>
        <w:tabs>
          <w:tab w:val="right" w:leader="dot" w:pos="9771"/>
        </w:tabs>
        <w:rPr>
          <w:rFonts w:ascii="Arial" w:hAnsi="Arial" w:cs="Arial"/>
          <w:noProof/>
          <w:kern w:val="2"/>
          <w:sz w:val="24"/>
          <w:szCs w:val="24"/>
          <w:lang w:eastAsia="en-AU"/>
          <w14:ligatures w14:val="standardContextual"/>
        </w:rPr>
      </w:pPr>
      <w:hyperlink w:anchor="_Toc180499423" w:history="1">
        <w:r w:rsidR="001337E2" w:rsidRPr="001337E2">
          <w:rPr>
            <w:rStyle w:val="Hyperlink"/>
            <w:rFonts w:ascii="Arial" w:hAnsi="Arial" w:cs="Arial"/>
            <w:noProof/>
          </w:rPr>
          <w:t>3.0 Upscale and upper mid class accommodation</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_Toc180499423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2</w:t>
        </w:r>
        <w:r w:rsidR="001337E2" w:rsidRPr="001337E2">
          <w:rPr>
            <w:rFonts w:ascii="Arial" w:hAnsi="Arial" w:cs="Arial"/>
            <w:noProof/>
            <w:webHidden/>
          </w:rPr>
          <w:fldChar w:fldCharType="end"/>
        </w:r>
      </w:hyperlink>
    </w:p>
    <w:p w14:paraId="2A8B219C" w14:textId="6933FC27" w:rsidR="001337E2" w:rsidRPr="001337E2" w:rsidRDefault="00AE68EA">
      <w:pPr>
        <w:pStyle w:val="TOC1"/>
        <w:tabs>
          <w:tab w:val="right" w:leader="dot" w:pos="9771"/>
        </w:tabs>
        <w:rPr>
          <w:rFonts w:ascii="Arial" w:hAnsi="Arial" w:cs="Arial"/>
          <w:noProof/>
          <w:kern w:val="2"/>
          <w:sz w:val="24"/>
          <w:szCs w:val="24"/>
          <w:lang w:eastAsia="en-AU"/>
          <w14:ligatures w14:val="standardContextual"/>
        </w:rPr>
      </w:pPr>
      <w:hyperlink w:anchor="_Toc180499424" w:history="1">
        <w:r w:rsidR="001337E2" w:rsidRPr="001337E2">
          <w:rPr>
            <w:rStyle w:val="Hyperlink"/>
            <w:rFonts w:ascii="Arial" w:hAnsi="Arial" w:cs="Arial"/>
            <w:noProof/>
          </w:rPr>
          <w:t>4.0 Midscale and economy class accommodation</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_Toc180499424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2</w:t>
        </w:r>
        <w:r w:rsidR="001337E2" w:rsidRPr="001337E2">
          <w:rPr>
            <w:rFonts w:ascii="Arial" w:hAnsi="Arial" w:cs="Arial"/>
            <w:noProof/>
            <w:webHidden/>
          </w:rPr>
          <w:fldChar w:fldCharType="end"/>
        </w:r>
      </w:hyperlink>
    </w:p>
    <w:p w14:paraId="369522AF" w14:textId="38A4876E" w:rsidR="001337E2" w:rsidRPr="001337E2" w:rsidRDefault="00AE68EA">
      <w:pPr>
        <w:pStyle w:val="TOC1"/>
        <w:tabs>
          <w:tab w:val="right" w:leader="dot" w:pos="9771"/>
        </w:tabs>
        <w:rPr>
          <w:rFonts w:ascii="Arial" w:hAnsi="Arial" w:cs="Arial"/>
          <w:noProof/>
          <w:kern w:val="2"/>
          <w:sz w:val="24"/>
          <w:szCs w:val="24"/>
          <w:lang w:eastAsia="en-AU"/>
          <w14:ligatures w14:val="standardContextual"/>
        </w:rPr>
      </w:pPr>
      <w:hyperlink w:anchor="_Toc180499425" w:history="1">
        <w:r w:rsidR="001337E2" w:rsidRPr="001337E2">
          <w:rPr>
            <w:rStyle w:val="Hyperlink"/>
            <w:rFonts w:ascii="Arial" w:hAnsi="Arial" w:cs="Arial"/>
            <w:noProof/>
          </w:rPr>
          <w:t>5.0 Key results for Melbourne</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_Toc180499425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3</w:t>
        </w:r>
        <w:r w:rsidR="001337E2" w:rsidRPr="001337E2">
          <w:rPr>
            <w:rFonts w:ascii="Arial" w:hAnsi="Arial" w:cs="Arial"/>
            <w:noProof/>
            <w:webHidden/>
          </w:rPr>
          <w:fldChar w:fldCharType="end"/>
        </w:r>
      </w:hyperlink>
    </w:p>
    <w:p w14:paraId="12605238" w14:textId="78DD2F0E"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26" w:history="1">
        <w:r w:rsidR="001337E2" w:rsidRPr="001337E2">
          <w:rPr>
            <w:rStyle w:val="Hyperlink"/>
            <w:rFonts w:ascii="Arial" w:hAnsi="Arial" w:cs="Arial"/>
            <w:noProof/>
          </w:rPr>
          <w:t>5.1 Revenue</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_Toc180499426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3</w:t>
        </w:r>
        <w:r w:rsidR="001337E2" w:rsidRPr="001337E2">
          <w:rPr>
            <w:rFonts w:ascii="Arial" w:hAnsi="Arial" w:cs="Arial"/>
            <w:noProof/>
            <w:webHidden/>
          </w:rPr>
          <w:fldChar w:fldCharType="end"/>
        </w:r>
      </w:hyperlink>
    </w:p>
    <w:p w14:paraId="143EDC21" w14:textId="700E5FF9"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27" w:history="1">
        <w:r w:rsidR="001337E2" w:rsidRPr="001337E2">
          <w:rPr>
            <w:rStyle w:val="Hyperlink"/>
            <w:rFonts w:ascii="Arial" w:hAnsi="Arial" w:cs="Arial"/>
            <w:noProof/>
          </w:rPr>
          <w:t>5.2 Occupancy</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_Toc180499427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3</w:t>
        </w:r>
        <w:r w:rsidR="001337E2" w:rsidRPr="001337E2">
          <w:rPr>
            <w:rFonts w:ascii="Arial" w:hAnsi="Arial" w:cs="Arial"/>
            <w:noProof/>
            <w:webHidden/>
          </w:rPr>
          <w:fldChar w:fldCharType="end"/>
        </w:r>
      </w:hyperlink>
    </w:p>
    <w:p w14:paraId="4A8F90CA" w14:textId="68B69A62"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28" w:history="1">
        <w:r w:rsidR="001337E2" w:rsidRPr="001337E2">
          <w:rPr>
            <w:rStyle w:val="Hyperlink"/>
            <w:rFonts w:ascii="Arial" w:hAnsi="Arial" w:cs="Arial"/>
            <w:noProof/>
          </w:rPr>
          <w:t>5.3 Room nights occupied</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_Toc180499428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3</w:t>
        </w:r>
        <w:r w:rsidR="001337E2" w:rsidRPr="001337E2">
          <w:rPr>
            <w:rFonts w:ascii="Arial" w:hAnsi="Arial" w:cs="Arial"/>
            <w:noProof/>
            <w:webHidden/>
          </w:rPr>
          <w:fldChar w:fldCharType="end"/>
        </w:r>
      </w:hyperlink>
    </w:p>
    <w:p w14:paraId="00B27512" w14:textId="7B904129"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29" w:history="1">
        <w:r w:rsidR="001337E2" w:rsidRPr="001337E2">
          <w:rPr>
            <w:rStyle w:val="Hyperlink"/>
            <w:rFonts w:ascii="Arial" w:hAnsi="Arial" w:cs="Arial"/>
            <w:noProof/>
          </w:rPr>
          <w:t>5.4 Revenue per available room or RevPAR</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_Toc180499429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3</w:t>
        </w:r>
        <w:r w:rsidR="001337E2" w:rsidRPr="001337E2">
          <w:rPr>
            <w:rFonts w:ascii="Arial" w:hAnsi="Arial" w:cs="Arial"/>
            <w:noProof/>
            <w:webHidden/>
          </w:rPr>
          <w:fldChar w:fldCharType="end"/>
        </w:r>
      </w:hyperlink>
    </w:p>
    <w:p w14:paraId="5941E54A" w14:textId="4D94B5E1" w:rsidR="001337E2" w:rsidRPr="001337E2" w:rsidRDefault="00AE68EA">
      <w:pPr>
        <w:pStyle w:val="TOC1"/>
        <w:tabs>
          <w:tab w:val="right" w:leader="dot" w:pos="9771"/>
        </w:tabs>
        <w:rPr>
          <w:rFonts w:ascii="Arial" w:hAnsi="Arial" w:cs="Arial"/>
          <w:noProof/>
          <w:kern w:val="2"/>
          <w:sz w:val="24"/>
          <w:szCs w:val="24"/>
          <w:lang w:eastAsia="en-AU"/>
          <w14:ligatures w14:val="standardContextual"/>
        </w:rPr>
      </w:pPr>
      <w:hyperlink w:anchor="_Toc180499430" w:history="1">
        <w:r w:rsidR="001337E2" w:rsidRPr="001337E2">
          <w:rPr>
            <w:rStyle w:val="Hyperlink"/>
            <w:rFonts w:ascii="Arial" w:hAnsi="Arial" w:cs="Arial"/>
            <w:noProof/>
          </w:rPr>
          <w:t>6.0 Supply indicators for Victoria</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_Toc180499430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3</w:t>
        </w:r>
        <w:r w:rsidR="001337E2" w:rsidRPr="001337E2">
          <w:rPr>
            <w:rFonts w:ascii="Arial" w:hAnsi="Arial" w:cs="Arial"/>
            <w:noProof/>
            <w:webHidden/>
          </w:rPr>
          <w:fldChar w:fldCharType="end"/>
        </w:r>
      </w:hyperlink>
    </w:p>
    <w:p w14:paraId="5006391A" w14:textId="21A0B8D4"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31" w:history="1">
        <w:r w:rsidR="001337E2" w:rsidRPr="001337E2">
          <w:rPr>
            <w:rStyle w:val="Hyperlink"/>
            <w:rFonts w:ascii="Arial" w:hAnsi="Arial" w:cs="Arial"/>
            <w:noProof/>
          </w:rPr>
          <w:t>6.1 Rooms available</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_Toc180499431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3</w:t>
        </w:r>
        <w:r w:rsidR="001337E2" w:rsidRPr="001337E2">
          <w:rPr>
            <w:rFonts w:ascii="Arial" w:hAnsi="Arial" w:cs="Arial"/>
            <w:noProof/>
            <w:webHidden/>
          </w:rPr>
          <w:fldChar w:fldCharType="end"/>
        </w:r>
      </w:hyperlink>
    </w:p>
    <w:p w14:paraId="19C96AFF" w14:textId="6F8F305C"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32" w:history="1">
        <w:r w:rsidR="001337E2" w:rsidRPr="001337E2">
          <w:rPr>
            <w:rStyle w:val="Hyperlink"/>
            <w:rFonts w:ascii="Arial" w:hAnsi="Arial" w:cs="Arial"/>
            <w:noProof/>
          </w:rPr>
          <w:t>6.2 Supply by accommodation type</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_Toc180499432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3</w:t>
        </w:r>
        <w:r w:rsidR="001337E2" w:rsidRPr="001337E2">
          <w:rPr>
            <w:rFonts w:ascii="Arial" w:hAnsi="Arial" w:cs="Arial"/>
            <w:noProof/>
            <w:webHidden/>
          </w:rPr>
          <w:fldChar w:fldCharType="end"/>
        </w:r>
      </w:hyperlink>
    </w:p>
    <w:p w14:paraId="5F1A763A" w14:textId="0905FE28" w:rsidR="001337E2" w:rsidRPr="001337E2" w:rsidRDefault="00AE68EA">
      <w:pPr>
        <w:pStyle w:val="TOC1"/>
        <w:tabs>
          <w:tab w:val="right" w:leader="dot" w:pos="9771"/>
        </w:tabs>
        <w:rPr>
          <w:rFonts w:ascii="Arial" w:hAnsi="Arial" w:cs="Arial"/>
          <w:noProof/>
          <w:kern w:val="2"/>
          <w:sz w:val="24"/>
          <w:szCs w:val="24"/>
          <w:lang w:eastAsia="en-AU"/>
          <w14:ligatures w14:val="standardContextual"/>
        </w:rPr>
      </w:pPr>
      <w:hyperlink w:anchor="_Toc180499433" w:history="1">
        <w:r w:rsidR="001337E2" w:rsidRPr="001337E2">
          <w:rPr>
            <w:rStyle w:val="Hyperlink"/>
            <w:rFonts w:ascii="Arial" w:hAnsi="Arial" w:cs="Arial"/>
            <w:noProof/>
          </w:rPr>
          <w:t>7.0 Accommodation demand and supply</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_Toc180499433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3</w:t>
        </w:r>
        <w:r w:rsidR="001337E2" w:rsidRPr="001337E2">
          <w:rPr>
            <w:rFonts w:ascii="Arial" w:hAnsi="Arial" w:cs="Arial"/>
            <w:noProof/>
            <w:webHidden/>
          </w:rPr>
          <w:fldChar w:fldCharType="end"/>
        </w:r>
      </w:hyperlink>
    </w:p>
    <w:p w14:paraId="153674C0" w14:textId="3DA33DB3" w:rsidR="001337E2" w:rsidRPr="001337E2" w:rsidRDefault="00AE68EA" w:rsidP="0053224D">
      <w:pPr>
        <w:pStyle w:val="TOC1"/>
        <w:tabs>
          <w:tab w:val="right" w:leader="dot" w:pos="9771"/>
        </w:tabs>
        <w:ind w:left="284"/>
        <w:rPr>
          <w:rFonts w:ascii="Arial" w:hAnsi="Arial" w:cs="Arial"/>
          <w:noProof/>
          <w:kern w:val="2"/>
          <w:sz w:val="24"/>
          <w:szCs w:val="24"/>
          <w:lang w:eastAsia="en-AU"/>
          <w14:ligatures w14:val="standardContextual"/>
        </w:rPr>
      </w:pPr>
      <w:hyperlink w:anchor="_Toc180499434" w:history="1">
        <w:r w:rsidR="001337E2" w:rsidRPr="001337E2">
          <w:rPr>
            <w:rStyle w:val="Hyperlink"/>
            <w:rFonts w:ascii="Arial" w:hAnsi="Arial" w:cs="Arial"/>
            <w:noProof/>
          </w:rPr>
          <w:t>Chart 1. Victorian accommodation establishments 10+ Rooms. Quarterly supply, demand and occupancy rates.</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_Toc180499434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4</w:t>
        </w:r>
        <w:r w:rsidR="001337E2" w:rsidRPr="001337E2">
          <w:rPr>
            <w:rFonts w:ascii="Arial" w:hAnsi="Arial" w:cs="Arial"/>
            <w:noProof/>
            <w:webHidden/>
          </w:rPr>
          <w:fldChar w:fldCharType="end"/>
        </w:r>
      </w:hyperlink>
    </w:p>
    <w:p w14:paraId="6529AFE2" w14:textId="45487A5E" w:rsidR="001337E2" w:rsidRPr="001337E2" w:rsidRDefault="00AE68EA">
      <w:pPr>
        <w:pStyle w:val="TOC1"/>
        <w:tabs>
          <w:tab w:val="right" w:leader="dot" w:pos="9771"/>
        </w:tabs>
        <w:rPr>
          <w:rFonts w:ascii="Arial" w:hAnsi="Arial" w:cs="Arial"/>
          <w:noProof/>
          <w:kern w:val="2"/>
          <w:sz w:val="24"/>
          <w:szCs w:val="24"/>
          <w:lang w:eastAsia="en-AU"/>
          <w14:ligatures w14:val="standardContextual"/>
        </w:rPr>
      </w:pPr>
      <w:hyperlink w:anchor="_Toc180499435" w:history="1">
        <w:r w:rsidR="001337E2" w:rsidRPr="001337E2">
          <w:rPr>
            <w:rStyle w:val="Hyperlink"/>
            <w:rFonts w:ascii="Arial" w:hAnsi="Arial" w:cs="Arial"/>
            <w:noProof/>
          </w:rPr>
          <w:t>8.0 Occupancy rates</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_Toc180499435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4</w:t>
        </w:r>
        <w:r w:rsidR="001337E2" w:rsidRPr="001337E2">
          <w:rPr>
            <w:rFonts w:ascii="Arial" w:hAnsi="Arial" w:cs="Arial"/>
            <w:noProof/>
            <w:webHidden/>
          </w:rPr>
          <w:fldChar w:fldCharType="end"/>
        </w:r>
      </w:hyperlink>
    </w:p>
    <w:p w14:paraId="0B4D4B8B" w14:textId="6201F1FC" w:rsidR="001337E2" w:rsidRPr="001337E2" w:rsidRDefault="00AE68EA">
      <w:pPr>
        <w:pStyle w:val="TOC2"/>
        <w:tabs>
          <w:tab w:val="right" w:leader="dot" w:pos="9771"/>
        </w:tabs>
        <w:rPr>
          <w:rFonts w:ascii="Arial" w:hAnsi="Arial" w:cs="Arial"/>
          <w:noProof/>
          <w:kern w:val="2"/>
          <w:sz w:val="24"/>
          <w:szCs w:val="24"/>
          <w:lang w:eastAsia="en-AU"/>
          <w14:ligatures w14:val="standardContextual"/>
        </w:rPr>
      </w:pPr>
      <w:hyperlink w:anchor="_Toc180499436" w:history="1">
        <w:r w:rsidR="001337E2" w:rsidRPr="001337E2">
          <w:rPr>
            <w:rStyle w:val="Hyperlink"/>
            <w:rFonts w:ascii="Arial" w:hAnsi="Arial" w:cs="Arial"/>
            <w:noProof/>
          </w:rPr>
          <w:t>Chart 2. Victorian accommodation establishments 10+ rooms monthly occupancy rates (%) from July 2019 to June 2024.</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_Toc180499436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5</w:t>
        </w:r>
        <w:r w:rsidR="001337E2" w:rsidRPr="001337E2">
          <w:rPr>
            <w:rFonts w:ascii="Arial" w:hAnsi="Arial" w:cs="Arial"/>
            <w:noProof/>
            <w:webHidden/>
          </w:rPr>
          <w:fldChar w:fldCharType="end"/>
        </w:r>
      </w:hyperlink>
    </w:p>
    <w:p w14:paraId="2F57D030" w14:textId="342E27E2" w:rsidR="001337E2" w:rsidRPr="001337E2" w:rsidRDefault="00AE68EA">
      <w:pPr>
        <w:pStyle w:val="TOC1"/>
        <w:tabs>
          <w:tab w:val="right" w:leader="dot" w:pos="9771"/>
        </w:tabs>
        <w:rPr>
          <w:rFonts w:ascii="Arial" w:hAnsi="Arial" w:cs="Arial"/>
          <w:noProof/>
          <w:kern w:val="2"/>
          <w:sz w:val="24"/>
          <w:szCs w:val="24"/>
          <w:lang w:eastAsia="en-AU"/>
          <w14:ligatures w14:val="standardContextual"/>
        </w:rPr>
      </w:pPr>
      <w:hyperlink w:anchor="_Toc180499437" w:history="1">
        <w:r w:rsidR="001337E2" w:rsidRPr="001337E2">
          <w:rPr>
            <w:rStyle w:val="Hyperlink"/>
            <w:rFonts w:ascii="Arial" w:hAnsi="Arial" w:cs="Arial"/>
            <w:noProof/>
          </w:rPr>
          <w:t>9.0 Data notes</w:t>
        </w:r>
        <w:r w:rsidR="001337E2" w:rsidRPr="001337E2">
          <w:rPr>
            <w:rFonts w:ascii="Arial" w:hAnsi="Arial" w:cs="Arial"/>
            <w:noProof/>
            <w:webHidden/>
          </w:rPr>
          <w:tab/>
        </w:r>
        <w:r w:rsidR="001337E2" w:rsidRPr="001337E2">
          <w:rPr>
            <w:rFonts w:ascii="Arial" w:hAnsi="Arial" w:cs="Arial"/>
            <w:noProof/>
            <w:webHidden/>
          </w:rPr>
          <w:fldChar w:fldCharType="begin"/>
        </w:r>
        <w:r w:rsidR="001337E2" w:rsidRPr="001337E2">
          <w:rPr>
            <w:rFonts w:ascii="Arial" w:hAnsi="Arial" w:cs="Arial"/>
            <w:noProof/>
            <w:webHidden/>
          </w:rPr>
          <w:instrText xml:space="preserve"> PAGEREF _Toc180499437 \h </w:instrText>
        </w:r>
        <w:r w:rsidR="001337E2" w:rsidRPr="001337E2">
          <w:rPr>
            <w:rFonts w:ascii="Arial" w:hAnsi="Arial" w:cs="Arial"/>
            <w:noProof/>
            <w:webHidden/>
          </w:rPr>
        </w:r>
        <w:r w:rsidR="001337E2" w:rsidRPr="001337E2">
          <w:rPr>
            <w:rFonts w:ascii="Arial" w:hAnsi="Arial" w:cs="Arial"/>
            <w:noProof/>
            <w:webHidden/>
          </w:rPr>
          <w:fldChar w:fldCharType="separate"/>
        </w:r>
        <w:r w:rsidR="001337E2" w:rsidRPr="001337E2">
          <w:rPr>
            <w:rFonts w:ascii="Arial" w:hAnsi="Arial" w:cs="Arial"/>
            <w:noProof/>
            <w:webHidden/>
          </w:rPr>
          <w:t>5</w:t>
        </w:r>
        <w:r w:rsidR="001337E2" w:rsidRPr="001337E2">
          <w:rPr>
            <w:rFonts w:ascii="Arial" w:hAnsi="Arial" w:cs="Arial"/>
            <w:noProof/>
            <w:webHidden/>
          </w:rPr>
          <w:fldChar w:fldCharType="end"/>
        </w:r>
      </w:hyperlink>
    </w:p>
    <w:p w14:paraId="11E93A48" w14:textId="3451B3A9" w:rsidR="00E72FB1" w:rsidRPr="00924FEB" w:rsidRDefault="007546C9">
      <w:pPr>
        <w:rPr>
          <w:rFonts w:ascii="Arial" w:hAnsi="Arial" w:cs="Arial"/>
          <w:color w:val="000000" w:themeColor="text1"/>
          <w:sz w:val="22"/>
          <w:szCs w:val="22"/>
        </w:rPr>
      </w:pPr>
      <w:r w:rsidRPr="001337E2">
        <w:rPr>
          <w:rFonts w:ascii="Arial" w:hAnsi="Arial" w:cs="Arial"/>
          <w:color w:val="000000" w:themeColor="text1"/>
          <w:sz w:val="22"/>
          <w:szCs w:val="22"/>
        </w:rPr>
        <w:fldChar w:fldCharType="end"/>
      </w:r>
    </w:p>
    <w:p w14:paraId="109B0078" w14:textId="77777777" w:rsidR="00924FEB" w:rsidRDefault="00924FEB">
      <w:pPr>
        <w:rPr>
          <w:rFonts w:ascii="Arial" w:eastAsiaTheme="majorEastAsia" w:hAnsi="Arial" w:cs="Arial"/>
          <w:color w:val="002060"/>
          <w:sz w:val="40"/>
          <w:szCs w:val="40"/>
        </w:rPr>
      </w:pPr>
      <w:r>
        <w:rPr>
          <w:rFonts w:ascii="Arial" w:hAnsi="Arial" w:cs="Arial"/>
          <w:color w:val="002060"/>
        </w:rPr>
        <w:br w:type="page"/>
      </w:r>
    </w:p>
    <w:p w14:paraId="74B21360" w14:textId="3FEE1D90" w:rsidR="008D2D0D" w:rsidRDefault="00AA120D" w:rsidP="00933A5B">
      <w:pPr>
        <w:pStyle w:val="Heading1"/>
        <w:numPr>
          <w:ilvl w:val="0"/>
          <w:numId w:val="14"/>
        </w:numPr>
        <w:rPr>
          <w:rFonts w:ascii="Arial" w:hAnsi="Arial" w:cs="Arial"/>
          <w:color w:val="002060"/>
        </w:rPr>
      </w:pPr>
      <w:bookmarkStart w:id="15" w:name="_Toc180499417"/>
      <w:r w:rsidRPr="00924FEB">
        <w:rPr>
          <w:rFonts w:ascii="Arial" w:hAnsi="Arial" w:cs="Arial"/>
          <w:color w:val="002060"/>
        </w:rPr>
        <w:lastRenderedPageBreak/>
        <w:t>Key</w:t>
      </w:r>
      <w:r w:rsidR="008D2D0D" w:rsidRPr="00924FEB">
        <w:rPr>
          <w:rFonts w:ascii="Arial" w:hAnsi="Arial" w:cs="Arial"/>
          <w:color w:val="002060"/>
        </w:rPr>
        <w:t xml:space="preserve"> results for Victoria</w:t>
      </w:r>
      <w:bookmarkEnd w:id="15"/>
      <w:r w:rsidR="008D2D0D" w:rsidRPr="00924FEB">
        <w:rPr>
          <w:rFonts w:ascii="Arial" w:hAnsi="Arial" w:cs="Arial"/>
          <w:color w:val="002060"/>
        </w:rPr>
        <w:t xml:space="preserve"> </w:t>
      </w:r>
    </w:p>
    <w:p w14:paraId="6B0F2AE9" w14:textId="77777777" w:rsidR="00933A5B" w:rsidRPr="00933A5B" w:rsidRDefault="00933A5B" w:rsidP="00933A5B">
      <w:pPr>
        <w:rPr>
          <w:sz w:val="8"/>
          <w:szCs w:val="8"/>
        </w:rPr>
      </w:pPr>
    </w:p>
    <w:p w14:paraId="793D8297" w14:textId="5AD607DF" w:rsidR="005C01F6" w:rsidRPr="00924FEB" w:rsidRDefault="00924FEB" w:rsidP="005C01F6">
      <w:pPr>
        <w:pStyle w:val="Heading2"/>
        <w:rPr>
          <w:rFonts w:ascii="Arial" w:hAnsi="Arial" w:cs="Arial"/>
          <w:color w:val="002060"/>
        </w:rPr>
      </w:pPr>
      <w:bookmarkStart w:id="16" w:name="_Toc180499418"/>
      <w:r>
        <w:rPr>
          <w:rFonts w:ascii="Arial" w:hAnsi="Arial" w:cs="Arial"/>
          <w:color w:val="002060"/>
        </w:rPr>
        <w:t xml:space="preserve">1.1 </w:t>
      </w:r>
      <w:r w:rsidR="00A312EC" w:rsidRPr="00924FEB">
        <w:rPr>
          <w:rFonts w:ascii="Arial" w:hAnsi="Arial" w:cs="Arial"/>
          <w:color w:val="002060"/>
        </w:rPr>
        <w:t>Revenue</w:t>
      </w:r>
      <w:bookmarkEnd w:id="16"/>
    </w:p>
    <w:p w14:paraId="0BF3064A" w14:textId="47ECCD0C" w:rsidR="00A53215" w:rsidRPr="00924FEB" w:rsidRDefault="005C01F6" w:rsidP="005C01F6">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In </w:t>
      </w:r>
      <w:r w:rsidR="00924FEB">
        <w:rPr>
          <w:rFonts w:ascii="Arial" w:hAnsi="Arial" w:cs="Arial"/>
          <w:color w:val="auto"/>
          <w:sz w:val="23"/>
          <w:szCs w:val="23"/>
        </w:rPr>
        <w:t xml:space="preserve">2023-24 </w:t>
      </w:r>
      <w:r w:rsidRPr="00924FEB">
        <w:rPr>
          <w:rFonts w:ascii="Arial" w:hAnsi="Arial" w:cs="Arial"/>
          <w:color w:val="auto"/>
          <w:sz w:val="23"/>
          <w:szCs w:val="23"/>
        </w:rPr>
        <w:t>Victoria’s accommodation sector generated $3.</w:t>
      </w:r>
      <w:r w:rsidR="00CB7141">
        <w:rPr>
          <w:rFonts w:ascii="Arial" w:hAnsi="Arial" w:cs="Arial"/>
          <w:color w:val="auto"/>
          <w:sz w:val="23"/>
          <w:szCs w:val="23"/>
        </w:rPr>
        <w:t>5</w:t>
      </w:r>
      <w:r w:rsidRPr="00924FEB">
        <w:rPr>
          <w:rFonts w:ascii="Arial" w:hAnsi="Arial" w:cs="Arial"/>
          <w:color w:val="auto"/>
          <w:sz w:val="23"/>
          <w:szCs w:val="23"/>
        </w:rPr>
        <w:t xml:space="preserve"> billion in total revenue.</w:t>
      </w:r>
    </w:p>
    <w:p w14:paraId="0A777652" w14:textId="7E5AF2D8" w:rsidR="00A53215" w:rsidRPr="00924FEB" w:rsidRDefault="00A53215" w:rsidP="00A53215">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This represents a </w:t>
      </w:r>
      <w:r w:rsidR="00CB7141">
        <w:rPr>
          <w:rFonts w:ascii="Arial" w:hAnsi="Arial" w:cs="Arial"/>
          <w:color w:val="auto"/>
          <w:sz w:val="23"/>
          <w:szCs w:val="23"/>
        </w:rPr>
        <w:t>6.5</w:t>
      </w:r>
      <w:r w:rsidRPr="00924FEB">
        <w:rPr>
          <w:rFonts w:ascii="Arial" w:hAnsi="Arial" w:cs="Arial"/>
          <w:color w:val="auto"/>
          <w:sz w:val="23"/>
          <w:szCs w:val="23"/>
        </w:rPr>
        <w:t xml:space="preserve">% increase from </w:t>
      </w:r>
      <w:r w:rsidR="005C01F6" w:rsidRPr="00924FEB">
        <w:rPr>
          <w:rFonts w:ascii="Arial" w:hAnsi="Arial" w:cs="Arial"/>
          <w:color w:val="auto"/>
          <w:sz w:val="23"/>
          <w:szCs w:val="23"/>
        </w:rPr>
        <w:t>202</w:t>
      </w:r>
      <w:r w:rsidR="00924FEB">
        <w:rPr>
          <w:rFonts w:ascii="Arial" w:hAnsi="Arial" w:cs="Arial"/>
          <w:color w:val="auto"/>
          <w:sz w:val="23"/>
          <w:szCs w:val="23"/>
        </w:rPr>
        <w:t>2</w:t>
      </w:r>
      <w:r w:rsidR="005C01F6" w:rsidRPr="00924FEB">
        <w:rPr>
          <w:rFonts w:ascii="Arial" w:hAnsi="Arial" w:cs="Arial"/>
          <w:color w:val="auto"/>
          <w:sz w:val="23"/>
          <w:szCs w:val="23"/>
        </w:rPr>
        <w:t>-2</w:t>
      </w:r>
      <w:r w:rsidR="00924FEB">
        <w:rPr>
          <w:rFonts w:ascii="Arial" w:hAnsi="Arial" w:cs="Arial"/>
          <w:color w:val="auto"/>
          <w:sz w:val="23"/>
          <w:szCs w:val="23"/>
        </w:rPr>
        <w:t>3</w:t>
      </w:r>
      <w:r w:rsidRPr="00924FEB">
        <w:rPr>
          <w:rFonts w:ascii="Arial" w:hAnsi="Arial" w:cs="Arial"/>
          <w:color w:val="auto"/>
          <w:sz w:val="23"/>
          <w:szCs w:val="23"/>
        </w:rPr>
        <w:t>.</w:t>
      </w:r>
    </w:p>
    <w:p w14:paraId="122DA9C8" w14:textId="3D5CC434" w:rsidR="00A312EC" w:rsidRPr="00924FEB" w:rsidRDefault="00924FEB" w:rsidP="00A312EC">
      <w:pPr>
        <w:pStyle w:val="Heading2"/>
        <w:rPr>
          <w:rFonts w:ascii="Arial" w:hAnsi="Arial" w:cs="Arial"/>
          <w:color w:val="002060"/>
        </w:rPr>
      </w:pPr>
      <w:bookmarkStart w:id="17" w:name="_Toc180499419"/>
      <w:r>
        <w:rPr>
          <w:rFonts w:ascii="Arial" w:hAnsi="Arial" w:cs="Arial"/>
          <w:color w:val="002060"/>
        </w:rPr>
        <w:t xml:space="preserve">1.2 </w:t>
      </w:r>
      <w:r w:rsidR="00A312EC" w:rsidRPr="00924FEB">
        <w:rPr>
          <w:rFonts w:ascii="Arial" w:hAnsi="Arial" w:cs="Arial"/>
          <w:color w:val="002060"/>
        </w:rPr>
        <w:t>Room nights occupied</w:t>
      </w:r>
      <w:bookmarkEnd w:id="17"/>
    </w:p>
    <w:p w14:paraId="0F8528DC" w14:textId="7A532056" w:rsidR="005C01F6" w:rsidRPr="00924FEB" w:rsidRDefault="005C01F6" w:rsidP="005C01F6">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In </w:t>
      </w:r>
      <w:r w:rsidR="00924FEB">
        <w:rPr>
          <w:rFonts w:ascii="Arial" w:hAnsi="Arial" w:cs="Arial"/>
          <w:color w:val="auto"/>
          <w:sz w:val="23"/>
          <w:szCs w:val="23"/>
        </w:rPr>
        <w:t xml:space="preserve">2023-24 </w:t>
      </w:r>
      <w:r w:rsidRPr="00924FEB">
        <w:rPr>
          <w:rFonts w:ascii="Arial" w:hAnsi="Arial" w:cs="Arial"/>
          <w:color w:val="auto"/>
          <w:sz w:val="23"/>
          <w:szCs w:val="23"/>
        </w:rPr>
        <w:t xml:space="preserve">Victoria’s accommodation sector noted </w:t>
      </w:r>
      <w:r w:rsidR="00CB7141">
        <w:rPr>
          <w:rFonts w:ascii="Arial" w:hAnsi="Arial" w:cs="Arial"/>
          <w:color w:val="auto"/>
          <w:sz w:val="23"/>
          <w:szCs w:val="23"/>
        </w:rPr>
        <w:t>15.9</w:t>
      </w:r>
      <w:r w:rsidRPr="00924FEB">
        <w:rPr>
          <w:rFonts w:ascii="Arial" w:hAnsi="Arial" w:cs="Arial"/>
          <w:color w:val="auto"/>
          <w:sz w:val="23"/>
          <w:szCs w:val="23"/>
        </w:rPr>
        <w:t xml:space="preserve"> million rooms nights occupied</w:t>
      </w:r>
      <w:r w:rsidR="003845B2" w:rsidRPr="00924FEB">
        <w:rPr>
          <w:rFonts w:ascii="Arial" w:hAnsi="Arial" w:cs="Arial"/>
          <w:color w:val="auto"/>
          <w:sz w:val="23"/>
          <w:szCs w:val="23"/>
        </w:rPr>
        <w:t>.</w:t>
      </w:r>
      <w:r w:rsidRPr="00924FEB">
        <w:rPr>
          <w:rFonts w:ascii="Arial" w:hAnsi="Arial" w:cs="Arial"/>
          <w:color w:val="auto"/>
          <w:sz w:val="23"/>
          <w:szCs w:val="23"/>
        </w:rPr>
        <w:t xml:space="preserve"> </w:t>
      </w:r>
    </w:p>
    <w:p w14:paraId="027D4097" w14:textId="147B0105" w:rsidR="005C01F6" w:rsidRPr="00924FEB" w:rsidRDefault="005C01F6" w:rsidP="005C01F6">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This represents a</w:t>
      </w:r>
      <w:r w:rsidR="002D0669">
        <w:rPr>
          <w:rFonts w:ascii="Arial" w:hAnsi="Arial" w:cs="Arial"/>
          <w:color w:val="auto"/>
          <w:sz w:val="23"/>
          <w:szCs w:val="23"/>
        </w:rPr>
        <w:t>n</w:t>
      </w:r>
      <w:r w:rsidRPr="00924FEB">
        <w:rPr>
          <w:rFonts w:ascii="Arial" w:hAnsi="Arial" w:cs="Arial"/>
          <w:color w:val="auto"/>
          <w:sz w:val="23"/>
          <w:szCs w:val="23"/>
        </w:rPr>
        <w:t xml:space="preserve"> </w:t>
      </w:r>
      <w:r w:rsidR="00CB7141">
        <w:rPr>
          <w:rFonts w:ascii="Arial" w:hAnsi="Arial" w:cs="Arial"/>
          <w:color w:val="auto"/>
          <w:sz w:val="23"/>
          <w:szCs w:val="23"/>
        </w:rPr>
        <w:t>8.4</w:t>
      </w:r>
      <w:r w:rsidRPr="00924FEB">
        <w:rPr>
          <w:rFonts w:ascii="Arial" w:hAnsi="Arial" w:cs="Arial"/>
          <w:color w:val="auto"/>
          <w:sz w:val="23"/>
          <w:szCs w:val="23"/>
        </w:rPr>
        <w:t>% increase from 202</w:t>
      </w:r>
      <w:r w:rsidR="00924FEB">
        <w:rPr>
          <w:rFonts w:ascii="Arial" w:hAnsi="Arial" w:cs="Arial"/>
          <w:color w:val="auto"/>
          <w:sz w:val="23"/>
          <w:szCs w:val="23"/>
        </w:rPr>
        <w:t>2</w:t>
      </w:r>
      <w:r w:rsidRPr="00924FEB">
        <w:rPr>
          <w:rFonts w:ascii="Arial" w:hAnsi="Arial" w:cs="Arial"/>
          <w:color w:val="auto"/>
          <w:sz w:val="23"/>
          <w:szCs w:val="23"/>
        </w:rPr>
        <w:t>-2</w:t>
      </w:r>
      <w:r w:rsidR="00924FEB">
        <w:rPr>
          <w:rFonts w:ascii="Arial" w:hAnsi="Arial" w:cs="Arial"/>
          <w:color w:val="auto"/>
          <w:sz w:val="23"/>
          <w:szCs w:val="23"/>
        </w:rPr>
        <w:t>3</w:t>
      </w:r>
      <w:r w:rsidRPr="00924FEB">
        <w:rPr>
          <w:rFonts w:ascii="Arial" w:hAnsi="Arial" w:cs="Arial"/>
          <w:color w:val="auto"/>
          <w:sz w:val="23"/>
          <w:szCs w:val="23"/>
        </w:rPr>
        <w:t>.</w:t>
      </w:r>
    </w:p>
    <w:p w14:paraId="38685BB2" w14:textId="7F24EFAC" w:rsidR="00A312EC" w:rsidRPr="00924FEB" w:rsidRDefault="00924FEB" w:rsidP="00A312EC">
      <w:pPr>
        <w:pStyle w:val="Heading2"/>
        <w:rPr>
          <w:rFonts w:ascii="Arial" w:hAnsi="Arial" w:cs="Arial"/>
          <w:color w:val="002060"/>
        </w:rPr>
      </w:pPr>
      <w:bookmarkStart w:id="18" w:name="_Toc180499420"/>
      <w:r>
        <w:rPr>
          <w:rFonts w:ascii="Arial" w:hAnsi="Arial" w:cs="Arial"/>
          <w:color w:val="002060"/>
        </w:rPr>
        <w:t xml:space="preserve">1.3 </w:t>
      </w:r>
      <w:r w:rsidR="00A312EC" w:rsidRPr="00924FEB">
        <w:rPr>
          <w:rFonts w:ascii="Arial" w:hAnsi="Arial" w:cs="Arial"/>
          <w:color w:val="002060"/>
        </w:rPr>
        <w:t xml:space="preserve">Revenue per available room </w:t>
      </w:r>
      <w:r w:rsidR="00CB2D40" w:rsidRPr="00924FEB">
        <w:rPr>
          <w:rFonts w:ascii="Arial" w:hAnsi="Arial" w:cs="Arial"/>
          <w:color w:val="002060"/>
        </w:rPr>
        <w:t>or RevPAR</w:t>
      </w:r>
      <w:bookmarkEnd w:id="18"/>
    </w:p>
    <w:p w14:paraId="169293EF" w14:textId="5A219023" w:rsidR="00A312EC" w:rsidRPr="00924FEB" w:rsidRDefault="00A312EC" w:rsidP="00A312EC">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In </w:t>
      </w:r>
      <w:r w:rsidR="00924FEB">
        <w:rPr>
          <w:rFonts w:ascii="Arial" w:hAnsi="Arial" w:cs="Arial"/>
          <w:color w:val="auto"/>
          <w:sz w:val="23"/>
          <w:szCs w:val="23"/>
        </w:rPr>
        <w:t xml:space="preserve">2023-24 </w:t>
      </w:r>
      <w:r w:rsidRPr="00924FEB">
        <w:rPr>
          <w:rFonts w:ascii="Arial" w:hAnsi="Arial" w:cs="Arial"/>
          <w:color w:val="auto"/>
          <w:sz w:val="23"/>
          <w:szCs w:val="23"/>
        </w:rPr>
        <w:t xml:space="preserve">Victoria’s accommodation sector noted </w:t>
      </w:r>
      <w:r w:rsidR="001F7293" w:rsidRPr="00924FEB">
        <w:rPr>
          <w:rFonts w:ascii="Arial" w:hAnsi="Arial" w:cs="Arial"/>
          <w:color w:val="auto"/>
          <w:sz w:val="23"/>
          <w:szCs w:val="23"/>
        </w:rPr>
        <w:t>$14</w:t>
      </w:r>
      <w:r w:rsidR="002D0669">
        <w:rPr>
          <w:rFonts w:ascii="Arial" w:hAnsi="Arial" w:cs="Arial"/>
          <w:color w:val="auto"/>
          <w:sz w:val="23"/>
          <w:szCs w:val="23"/>
        </w:rPr>
        <w:t xml:space="preserve">9.19 </w:t>
      </w:r>
      <w:r w:rsidR="001F7293" w:rsidRPr="00924FEB">
        <w:rPr>
          <w:rFonts w:ascii="Arial" w:hAnsi="Arial" w:cs="Arial"/>
          <w:color w:val="auto"/>
          <w:sz w:val="23"/>
          <w:szCs w:val="23"/>
        </w:rPr>
        <w:t xml:space="preserve">in revenue per available room. </w:t>
      </w:r>
      <w:r w:rsidRPr="00924FEB">
        <w:rPr>
          <w:rFonts w:ascii="Arial" w:hAnsi="Arial" w:cs="Arial"/>
          <w:color w:val="auto"/>
          <w:sz w:val="23"/>
          <w:szCs w:val="23"/>
        </w:rPr>
        <w:t xml:space="preserve"> </w:t>
      </w:r>
    </w:p>
    <w:p w14:paraId="1041EA41" w14:textId="392A4916" w:rsidR="00A312EC" w:rsidRPr="00924FEB" w:rsidRDefault="00A312EC" w:rsidP="00A312EC">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This represents a </w:t>
      </w:r>
      <w:r w:rsidR="002D0669">
        <w:rPr>
          <w:rFonts w:ascii="Arial" w:hAnsi="Arial" w:cs="Arial"/>
          <w:color w:val="auto"/>
          <w:sz w:val="23"/>
          <w:szCs w:val="23"/>
        </w:rPr>
        <w:t>1.6</w:t>
      </w:r>
      <w:r w:rsidRPr="00924FEB">
        <w:rPr>
          <w:rFonts w:ascii="Arial" w:hAnsi="Arial" w:cs="Arial"/>
          <w:color w:val="auto"/>
          <w:sz w:val="23"/>
          <w:szCs w:val="23"/>
        </w:rPr>
        <w:t>% increase from 202</w:t>
      </w:r>
      <w:r w:rsidR="00924FEB">
        <w:rPr>
          <w:rFonts w:ascii="Arial" w:hAnsi="Arial" w:cs="Arial"/>
          <w:color w:val="auto"/>
          <w:sz w:val="23"/>
          <w:szCs w:val="23"/>
        </w:rPr>
        <w:t>2</w:t>
      </w:r>
      <w:r w:rsidRPr="00924FEB">
        <w:rPr>
          <w:rFonts w:ascii="Arial" w:hAnsi="Arial" w:cs="Arial"/>
          <w:color w:val="auto"/>
          <w:sz w:val="23"/>
          <w:szCs w:val="23"/>
        </w:rPr>
        <w:t>-2</w:t>
      </w:r>
      <w:r w:rsidR="00924FEB">
        <w:rPr>
          <w:rFonts w:ascii="Arial" w:hAnsi="Arial" w:cs="Arial"/>
          <w:color w:val="auto"/>
          <w:sz w:val="23"/>
          <w:szCs w:val="23"/>
        </w:rPr>
        <w:t>3</w:t>
      </w:r>
      <w:r w:rsidRPr="00924FEB">
        <w:rPr>
          <w:rFonts w:ascii="Arial" w:hAnsi="Arial" w:cs="Arial"/>
          <w:color w:val="auto"/>
          <w:sz w:val="23"/>
          <w:szCs w:val="23"/>
        </w:rPr>
        <w:t>.</w:t>
      </w:r>
    </w:p>
    <w:p w14:paraId="0D7EAD00" w14:textId="590013AE" w:rsidR="001F7293" w:rsidRPr="00924FEB" w:rsidRDefault="00924FEB" w:rsidP="001F7293">
      <w:pPr>
        <w:pStyle w:val="Heading2"/>
        <w:rPr>
          <w:rFonts w:ascii="Arial" w:hAnsi="Arial" w:cs="Arial"/>
          <w:color w:val="002060"/>
        </w:rPr>
      </w:pPr>
      <w:bookmarkStart w:id="19" w:name="_Toc180499421"/>
      <w:r>
        <w:rPr>
          <w:rFonts w:ascii="Arial" w:hAnsi="Arial" w:cs="Arial"/>
          <w:color w:val="002060"/>
        </w:rPr>
        <w:t xml:space="preserve">1.4 </w:t>
      </w:r>
      <w:r w:rsidR="001F7293" w:rsidRPr="00924FEB">
        <w:rPr>
          <w:rFonts w:ascii="Arial" w:hAnsi="Arial" w:cs="Arial"/>
          <w:color w:val="002060"/>
        </w:rPr>
        <w:t>Occupancy</w:t>
      </w:r>
      <w:bookmarkEnd w:id="19"/>
    </w:p>
    <w:p w14:paraId="4FBFA38E" w14:textId="6A698095" w:rsidR="001F7293" w:rsidRPr="00924FEB" w:rsidRDefault="001F7293" w:rsidP="001F7293">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In </w:t>
      </w:r>
      <w:r w:rsidR="00924FEB">
        <w:rPr>
          <w:rFonts w:ascii="Arial" w:hAnsi="Arial" w:cs="Arial"/>
          <w:color w:val="auto"/>
          <w:sz w:val="23"/>
          <w:szCs w:val="23"/>
        </w:rPr>
        <w:t xml:space="preserve">2023-24 </w:t>
      </w:r>
      <w:r w:rsidRPr="00924FEB">
        <w:rPr>
          <w:rFonts w:ascii="Arial" w:hAnsi="Arial" w:cs="Arial"/>
          <w:color w:val="auto"/>
          <w:sz w:val="23"/>
          <w:szCs w:val="23"/>
        </w:rPr>
        <w:t xml:space="preserve">Victoria’s accommodation sector noted an average occupancy rate of </w:t>
      </w:r>
      <w:r w:rsidR="002D0669">
        <w:rPr>
          <w:rFonts w:ascii="Arial" w:hAnsi="Arial" w:cs="Arial"/>
          <w:color w:val="auto"/>
          <w:sz w:val="23"/>
          <w:szCs w:val="23"/>
        </w:rPr>
        <w:t>68.3</w:t>
      </w:r>
      <w:r w:rsidRPr="00924FEB">
        <w:rPr>
          <w:rFonts w:ascii="Arial" w:hAnsi="Arial" w:cs="Arial"/>
          <w:color w:val="auto"/>
          <w:sz w:val="23"/>
          <w:szCs w:val="23"/>
        </w:rPr>
        <w:t xml:space="preserve">%.  </w:t>
      </w:r>
    </w:p>
    <w:p w14:paraId="05F24E2A" w14:textId="53EF7AE1" w:rsidR="001F7293" w:rsidRPr="00924FEB" w:rsidRDefault="001F7293" w:rsidP="001F7293">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This represents a </w:t>
      </w:r>
      <w:r w:rsidR="002D0669">
        <w:rPr>
          <w:rFonts w:ascii="Arial" w:hAnsi="Arial" w:cs="Arial"/>
          <w:color w:val="auto"/>
          <w:sz w:val="23"/>
          <w:szCs w:val="23"/>
        </w:rPr>
        <w:t>4.0</w:t>
      </w:r>
      <w:r w:rsidRPr="00924FEB">
        <w:rPr>
          <w:rFonts w:ascii="Arial" w:hAnsi="Arial" w:cs="Arial"/>
          <w:color w:val="auto"/>
          <w:sz w:val="23"/>
          <w:szCs w:val="23"/>
        </w:rPr>
        <w:t>% increase from 202</w:t>
      </w:r>
      <w:r w:rsidR="00924FEB">
        <w:rPr>
          <w:rFonts w:ascii="Arial" w:hAnsi="Arial" w:cs="Arial"/>
          <w:color w:val="auto"/>
          <w:sz w:val="23"/>
          <w:szCs w:val="23"/>
        </w:rPr>
        <w:t>2</w:t>
      </w:r>
      <w:r w:rsidRPr="00924FEB">
        <w:rPr>
          <w:rFonts w:ascii="Arial" w:hAnsi="Arial" w:cs="Arial"/>
          <w:color w:val="auto"/>
          <w:sz w:val="23"/>
          <w:szCs w:val="23"/>
        </w:rPr>
        <w:t>-2</w:t>
      </w:r>
      <w:r w:rsidR="00924FEB">
        <w:rPr>
          <w:rFonts w:ascii="Arial" w:hAnsi="Arial" w:cs="Arial"/>
          <w:color w:val="auto"/>
          <w:sz w:val="23"/>
          <w:szCs w:val="23"/>
        </w:rPr>
        <w:t>3</w:t>
      </w:r>
      <w:r w:rsidRPr="00924FEB">
        <w:rPr>
          <w:rFonts w:ascii="Arial" w:hAnsi="Arial" w:cs="Arial"/>
          <w:color w:val="auto"/>
          <w:sz w:val="23"/>
          <w:szCs w:val="23"/>
        </w:rPr>
        <w:t>.</w:t>
      </w:r>
    </w:p>
    <w:p w14:paraId="3071988E" w14:textId="681E4F68" w:rsidR="004058F0" w:rsidRPr="00924FEB" w:rsidRDefault="002D0669" w:rsidP="004058F0">
      <w:pPr>
        <w:pStyle w:val="Heading1"/>
        <w:rPr>
          <w:rFonts w:ascii="Arial" w:hAnsi="Arial" w:cs="Arial"/>
          <w:color w:val="002060"/>
        </w:rPr>
      </w:pPr>
      <w:bookmarkStart w:id="20" w:name="_Toc180499422"/>
      <w:r>
        <w:rPr>
          <w:rFonts w:ascii="Arial" w:hAnsi="Arial" w:cs="Arial"/>
          <w:color w:val="002060"/>
        </w:rPr>
        <w:t xml:space="preserve">2.0 </w:t>
      </w:r>
      <w:r w:rsidR="00BE373E" w:rsidRPr="00924FEB">
        <w:rPr>
          <w:rFonts w:ascii="Arial" w:hAnsi="Arial" w:cs="Arial"/>
          <w:color w:val="002060"/>
        </w:rPr>
        <w:t>Luxury and upper upscale class accommodation</w:t>
      </w:r>
      <w:bookmarkEnd w:id="20"/>
    </w:p>
    <w:p w14:paraId="1B43341A" w14:textId="475E2B80" w:rsidR="009564DE" w:rsidRPr="00924FEB" w:rsidRDefault="00D75C1E" w:rsidP="00E66569">
      <w:pPr>
        <w:rPr>
          <w:rFonts w:ascii="Arial" w:hAnsi="Arial" w:cs="Arial"/>
          <w:sz w:val="4"/>
          <w:szCs w:val="4"/>
        </w:rPr>
      </w:pPr>
      <w:r w:rsidRPr="00924FEB">
        <w:rPr>
          <w:rFonts w:ascii="Arial" w:hAnsi="Arial" w:cs="Arial"/>
        </w:rPr>
        <w:t xml:space="preserve"> </w:t>
      </w:r>
    </w:p>
    <w:p w14:paraId="69EFEB7B" w14:textId="4916F13A" w:rsidR="006C480C" w:rsidRPr="00924FEB" w:rsidRDefault="00A13487" w:rsidP="00823502">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Generated $</w:t>
      </w:r>
      <w:r w:rsidR="002D0669">
        <w:rPr>
          <w:rFonts w:ascii="Arial" w:hAnsi="Arial" w:cs="Arial"/>
          <w:color w:val="auto"/>
          <w:sz w:val="23"/>
          <w:szCs w:val="23"/>
        </w:rPr>
        <w:t>1.1</w:t>
      </w:r>
      <w:r w:rsidRPr="00924FEB">
        <w:rPr>
          <w:rFonts w:ascii="Arial" w:hAnsi="Arial" w:cs="Arial"/>
          <w:color w:val="auto"/>
          <w:sz w:val="23"/>
          <w:szCs w:val="23"/>
        </w:rPr>
        <w:t xml:space="preserve"> </w:t>
      </w:r>
      <w:r w:rsidR="002D0669">
        <w:rPr>
          <w:rFonts w:ascii="Arial" w:hAnsi="Arial" w:cs="Arial"/>
          <w:color w:val="auto"/>
          <w:sz w:val="23"/>
          <w:szCs w:val="23"/>
        </w:rPr>
        <w:t>b</w:t>
      </w:r>
      <w:r w:rsidRPr="00924FEB">
        <w:rPr>
          <w:rFonts w:ascii="Arial" w:hAnsi="Arial" w:cs="Arial"/>
          <w:color w:val="auto"/>
          <w:sz w:val="23"/>
          <w:szCs w:val="23"/>
        </w:rPr>
        <w:t>illion in revenue</w:t>
      </w:r>
      <w:r w:rsidR="00056D7A" w:rsidRPr="00924FEB">
        <w:rPr>
          <w:rFonts w:ascii="Arial" w:hAnsi="Arial" w:cs="Arial"/>
          <w:color w:val="auto"/>
          <w:sz w:val="23"/>
          <w:szCs w:val="23"/>
        </w:rPr>
        <w:t xml:space="preserve"> in </w:t>
      </w:r>
      <w:r w:rsidR="00924FEB">
        <w:rPr>
          <w:rFonts w:ascii="Arial" w:hAnsi="Arial" w:cs="Arial"/>
          <w:color w:val="auto"/>
          <w:sz w:val="23"/>
          <w:szCs w:val="23"/>
        </w:rPr>
        <w:t>2023-24</w:t>
      </w:r>
      <w:r w:rsidR="006C480C" w:rsidRPr="00924FEB">
        <w:rPr>
          <w:rFonts w:ascii="Arial" w:hAnsi="Arial" w:cs="Arial"/>
          <w:color w:val="auto"/>
          <w:sz w:val="23"/>
          <w:szCs w:val="23"/>
        </w:rPr>
        <w:t>.</w:t>
      </w:r>
    </w:p>
    <w:p w14:paraId="2860C823" w14:textId="2678EE29" w:rsidR="006C480C" w:rsidRPr="00924FEB" w:rsidRDefault="00A13487" w:rsidP="00823502">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Noted an average occupancy rate of </w:t>
      </w:r>
      <w:r w:rsidR="002D0669">
        <w:rPr>
          <w:rFonts w:ascii="Arial" w:hAnsi="Arial" w:cs="Arial"/>
          <w:color w:val="auto"/>
          <w:sz w:val="23"/>
          <w:szCs w:val="23"/>
        </w:rPr>
        <w:t>67.9</w:t>
      </w:r>
      <w:r w:rsidRPr="00924FEB">
        <w:rPr>
          <w:rFonts w:ascii="Arial" w:hAnsi="Arial" w:cs="Arial"/>
          <w:color w:val="auto"/>
          <w:sz w:val="23"/>
          <w:szCs w:val="23"/>
        </w:rPr>
        <w:t xml:space="preserve">%. This was a </w:t>
      </w:r>
      <w:r w:rsidR="002D0669">
        <w:rPr>
          <w:rFonts w:ascii="Arial" w:hAnsi="Arial" w:cs="Arial"/>
          <w:color w:val="auto"/>
          <w:sz w:val="23"/>
          <w:szCs w:val="23"/>
        </w:rPr>
        <w:t>6.6</w:t>
      </w:r>
      <w:r w:rsidRPr="00924FEB">
        <w:rPr>
          <w:rFonts w:ascii="Arial" w:hAnsi="Arial" w:cs="Arial"/>
          <w:color w:val="auto"/>
          <w:sz w:val="23"/>
          <w:szCs w:val="23"/>
        </w:rPr>
        <w:t>% increase from 202</w:t>
      </w:r>
      <w:r w:rsidR="00924FEB">
        <w:rPr>
          <w:rFonts w:ascii="Arial" w:hAnsi="Arial" w:cs="Arial"/>
          <w:color w:val="auto"/>
          <w:sz w:val="23"/>
          <w:szCs w:val="23"/>
        </w:rPr>
        <w:t>2-</w:t>
      </w:r>
      <w:r w:rsidRPr="00924FEB">
        <w:rPr>
          <w:rFonts w:ascii="Arial" w:hAnsi="Arial" w:cs="Arial"/>
          <w:color w:val="auto"/>
          <w:sz w:val="23"/>
          <w:szCs w:val="23"/>
        </w:rPr>
        <w:t>2</w:t>
      </w:r>
      <w:r w:rsidR="00924FEB">
        <w:rPr>
          <w:rFonts w:ascii="Arial" w:hAnsi="Arial" w:cs="Arial"/>
          <w:color w:val="auto"/>
          <w:sz w:val="23"/>
          <w:szCs w:val="23"/>
        </w:rPr>
        <w:t>3</w:t>
      </w:r>
      <w:r w:rsidRPr="00924FEB">
        <w:rPr>
          <w:rFonts w:ascii="Arial" w:hAnsi="Arial" w:cs="Arial"/>
          <w:color w:val="auto"/>
          <w:sz w:val="23"/>
          <w:szCs w:val="23"/>
        </w:rPr>
        <w:t>.</w:t>
      </w:r>
    </w:p>
    <w:p w14:paraId="0B282F69" w14:textId="066E326C" w:rsidR="00FC423D" w:rsidRPr="00924FEB" w:rsidRDefault="00056D7A" w:rsidP="00823502">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Noted an average revenue per room of $</w:t>
      </w:r>
      <w:r w:rsidR="002D0669">
        <w:rPr>
          <w:rFonts w:ascii="Arial" w:hAnsi="Arial" w:cs="Arial"/>
          <w:color w:val="auto"/>
          <w:sz w:val="23"/>
          <w:szCs w:val="23"/>
        </w:rPr>
        <w:t>201.12</w:t>
      </w:r>
      <w:r w:rsidRPr="00924FEB">
        <w:rPr>
          <w:rFonts w:ascii="Arial" w:hAnsi="Arial" w:cs="Arial"/>
          <w:color w:val="auto"/>
          <w:sz w:val="23"/>
          <w:szCs w:val="23"/>
        </w:rPr>
        <w:t xml:space="preserve">. This was a </w:t>
      </w:r>
      <w:r w:rsidR="002D0669">
        <w:rPr>
          <w:rFonts w:ascii="Arial" w:hAnsi="Arial" w:cs="Arial"/>
          <w:color w:val="auto"/>
          <w:sz w:val="23"/>
          <w:szCs w:val="23"/>
        </w:rPr>
        <w:t>2.7</w:t>
      </w:r>
      <w:r w:rsidRPr="00924FEB">
        <w:rPr>
          <w:rFonts w:ascii="Arial" w:hAnsi="Arial" w:cs="Arial"/>
          <w:color w:val="auto"/>
          <w:sz w:val="23"/>
          <w:szCs w:val="23"/>
        </w:rPr>
        <w:t>% increase from 202</w:t>
      </w:r>
      <w:r w:rsidR="00924FEB">
        <w:rPr>
          <w:rFonts w:ascii="Arial" w:hAnsi="Arial" w:cs="Arial"/>
          <w:color w:val="auto"/>
          <w:sz w:val="23"/>
          <w:szCs w:val="23"/>
        </w:rPr>
        <w:t>2-23</w:t>
      </w:r>
      <w:r w:rsidRPr="00924FEB">
        <w:rPr>
          <w:rFonts w:ascii="Arial" w:hAnsi="Arial" w:cs="Arial"/>
          <w:color w:val="auto"/>
          <w:sz w:val="23"/>
          <w:szCs w:val="23"/>
        </w:rPr>
        <w:t>.</w:t>
      </w:r>
    </w:p>
    <w:p w14:paraId="1FCD570C" w14:textId="422419C6" w:rsidR="00BE373E" w:rsidRPr="00924FEB" w:rsidRDefault="002D0669" w:rsidP="00BE373E">
      <w:pPr>
        <w:pStyle w:val="Heading1"/>
        <w:rPr>
          <w:rFonts w:ascii="Arial" w:hAnsi="Arial" w:cs="Arial"/>
          <w:color w:val="002060"/>
        </w:rPr>
      </w:pPr>
      <w:bookmarkStart w:id="21" w:name="_Toc180499423"/>
      <w:r>
        <w:rPr>
          <w:rFonts w:ascii="Arial" w:hAnsi="Arial" w:cs="Arial"/>
          <w:color w:val="002060"/>
        </w:rPr>
        <w:t xml:space="preserve">3.0 </w:t>
      </w:r>
      <w:r w:rsidR="00BE373E" w:rsidRPr="00924FEB">
        <w:rPr>
          <w:rFonts w:ascii="Arial" w:hAnsi="Arial" w:cs="Arial"/>
          <w:color w:val="002060"/>
        </w:rPr>
        <w:t>Upscale and upper mid</w:t>
      </w:r>
      <w:r w:rsidR="008E4E40" w:rsidRPr="00924FEB">
        <w:rPr>
          <w:rFonts w:ascii="Arial" w:hAnsi="Arial" w:cs="Arial"/>
          <w:color w:val="002060"/>
        </w:rPr>
        <w:t xml:space="preserve"> </w:t>
      </w:r>
      <w:r w:rsidR="00BE373E" w:rsidRPr="00924FEB">
        <w:rPr>
          <w:rFonts w:ascii="Arial" w:hAnsi="Arial" w:cs="Arial"/>
          <w:color w:val="002060"/>
        </w:rPr>
        <w:t>class accommodation</w:t>
      </w:r>
      <w:bookmarkEnd w:id="21"/>
    </w:p>
    <w:p w14:paraId="2391190A" w14:textId="77777777" w:rsidR="00BE373E" w:rsidRPr="00924FEB" w:rsidRDefault="00BE373E" w:rsidP="00BE373E">
      <w:pPr>
        <w:rPr>
          <w:rFonts w:ascii="Arial" w:hAnsi="Arial" w:cs="Arial"/>
          <w:sz w:val="4"/>
          <w:szCs w:val="4"/>
        </w:rPr>
      </w:pPr>
      <w:r w:rsidRPr="00924FEB">
        <w:rPr>
          <w:rFonts w:ascii="Arial" w:hAnsi="Arial" w:cs="Arial"/>
        </w:rPr>
        <w:t xml:space="preserve"> </w:t>
      </w:r>
    </w:p>
    <w:p w14:paraId="393B1205" w14:textId="19CF0F0D" w:rsidR="00056D7A" w:rsidRPr="00924FEB" w:rsidRDefault="00056D7A" w:rsidP="00056D7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Generated $1.4 billion in revenue in </w:t>
      </w:r>
      <w:r w:rsidR="00924FEB">
        <w:rPr>
          <w:rFonts w:ascii="Arial" w:hAnsi="Arial" w:cs="Arial"/>
          <w:color w:val="auto"/>
          <w:sz w:val="23"/>
          <w:szCs w:val="23"/>
        </w:rPr>
        <w:t>2023-24</w:t>
      </w:r>
      <w:r w:rsidRPr="00924FEB">
        <w:rPr>
          <w:rFonts w:ascii="Arial" w:hAnsi="Arial" w:cs="Arial"/>
          <w:color w:val="auto"/>
          <w:sz w:val="23"/>
          <w:szCs w:val="23"/>
        </w:rPr>
        <w:t>.</w:t>
      </w:r>
    </w:p>
    <w:p w14:paraId="2A2F2B13" w14:textId="7ADD8DF4" w:rsidR="00056D7A" w:rsidRPr="00924FEB" w:rsidRDefault="00056D7A" w:rsidP="00056D7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Noted an average occupancy rate of </w:t>
      </w:r>
      <w:r w:rsidR="002D0669">
        <w:rPr>
          <w:rFonts w:ascii="Arial" w:hAnsi="Arial" w:cs="Arial"/>
          <w:color w:val="auto"/>
          <w:sz w:val="23"/>
          <w:szCs w:val="23"/>
        </w:rPr>
        <w:t>69.0</w:t>
      </w:r>
      <w:r w:rsidRPr="00924FEB">
        <w:rPr>
          <w:rFonts w:ascii="Arial" w:hAnsi="Arial" w:cs="Arial"/>
          <w:color w:val="auto"/>
          <w:sz w:val="23"/>
          <w:szCs w:val="23"/>
        </w:rPr>
        <w:t xml:space="preserve">%. This was a </w:t>
      </w:r>
      <w:r w:rsidR="002D0669">
        <w:rPr>
          <w:rFonts w:ascii="Arial" w:hAnsi="Arial" w:cs="Arial"/>
          <w:color w:val="auto"/>
          <w:sz w:val="23"/>
          <w:szCs w:val="23"/>
        </w:rPr>
        <w:t>3.8</w:t>
      </w:r>
      <w:r w:rsidRPr="00924FEB">
        <w:rPr>
          <w:rFonts w:ascii="Arial" w:hAnsi="Arial" w:cs="Arial"/>
          <w:color w:val="auto"/>
          <w:sz w:val="23"/>
          <w:szCs w:val="23"/>
        </w:rPr>
        <w:t xml:space="preserve">% increase from </w:t>
      </w:r>
      <w:r w:rsidR="00924FEB" w:rsidRPr="00924FEB">
        <w:rPr>
          <w:rFonts w:ascii="Arial" w:hAnsi="Arial" w:cs="Arial"/>
          <w:color w:val="auto"/>
          <w:sz w:val="23"/>
          <w:szCs w:val="23"/>
        </w:rPr>
        <w:t>202</w:t>
      </w:r>
      <w:r w:rsidR="00924FEB">
        <w:rPr>
          <w:rFonts w:ascii="Arial" w:hAnsi="Arial" w:cs="Arial"/>
          <w:color w:val="auto"/>
          <w:sz w:val="23"/>
          <w:szCs w:val="23"/>
        </w:rPr>
        <w:t>2-23</w:t>
      </w:r>
      <w:r w:rsidRPr="00924FEB">
        <w:rPr>
          <w:rFonts w:ascii="Arial" w:hAnsi="Arial" w:cs="Arial"/>
          <w:color w:val="auto"/>
          <w:sz w:val="23"/>
          <w:szCs w:val="23"/>
        </w:rPr>
        <w:t>.</w:t>
      </w:r>
    </w:p>
    <w:p w14:paraId="6E9448E6" w14:textId="26BDB7B3" w:rsidR="00056D7A" w:rsidRPr="00924FEB" w:rsidRDefault="00056D7A" w:rsidP="00056D7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Noted an average revenue per room of $</w:t>
      </w:r>
      <w:r w:rsidR="002D0669">
        <w:rPr>
          <w:rFonts w:ascii="Arial" w:hAnsi="Arial" w:cs="Arial"/>
          <w:color w:val="auto"/>
          <w:sz w:val="23"/>
          <w:szCs w:val="23"/>
        </w:rPr>
        <w:t>133.86</w:t>
      </w:r>
      <w:r w:rsidRPr="00924FEB">
        <w:rPr>
          <w:rFonts w:ascii="Arial" w:hAnsi="Arial" w:cs="Arial"/>
          <w:color w:val="auto"/>
          <w:sz w:val="23"/>
          <w:szCs w:val="23"/>
        </w:rPr>
        <w:t xml:space="preserve">. This was a </w:t>
      </w:r>
      <w:r w:rsidR="002D0669">
        <w:rPr>
          <w:rFonts w:ascii="Arial" w:hAnsi="Arial" w:cs="Arial"/>
          <w:color w:val="auto"/>
          <w:sz w:val="23"/>
          <w:szCs w:val="23"/>
        </w:rPr>
        <w:t>1.7</w:t>
      </w:r>
      <w:r w:rsidRPr="00924FEB">
        <w:rPr>
          <w:rFonts w:ascii="Arial" w:hAnsi="Arial" w:cs="Arial"/>
          <w:color w:val="auto"/>
          <w:sz w:val="23"/>
          <w:szCs w:val="23"/>
        </w:rPr>
        <w:t xml:space="preserve">% increase from </w:t>
      </w:r>
      <w:r w:rsidR="00924FEB" w:rsidRPr="00924FEB">
        <w:rPr>
          <w:rFonts w:ascii="Arial" w:hAnsi="Arial" w:cs="Arial"/>
          <w:color w:val="auto"/>
          <w:sz w:val="23"/>
          <w:szCs w:val="23"/>
        </w:rPr>
        <w:t>202</w:t>
      </w:r>
      <w:r w:rsidR="00924FEB">
        <w:rPr>
          <w:rFonts w:ascii="Arial" w:hAnsi="Arial" w:cs="Arial"/>
          <w:color w:val="auto"/>
          <w:sz w:val="23"/>
          <w:szCs w:val="23"/>
        </w:rPr>
        <w:t>2-23</w:t>
      </w:r>
      <w:r w:rsidRPr="00924FEB">
        <w:rPr>
          <w:rFonts w:ascii="Arial" w:hAnsi="Arial" w:cs="Arial"/>
          <w:color w:val="auto"/>
          <w:sz w:val="23"/>
          <w:szCs w:val="23"/>
        </w:rPr>
        <w:t>.</w:t>
      </w:r>
    </w:p>
    <w:p w14:paraId="439CD5A4" w14:textId="4CEF8E7A" w:rsidR="00BE373E" w:rsidRPr="00924FEB" w:rsidRDefault="002D0669" w:rsidP="00BE373E">
      <w:pPr>
        <w:pStyle w:val="Heading1"/>
        <w:rPr>
          <w:rFonts w:ascii="Arial" w:hAnsi="Arial" w:cs="Arial"/>
          <w:color w:val="002060"/>
        </w:rPr>
      </w:pPr>
      <w:bookmarkStart w:id="22" w:name="_Toc180499424"/>
      <w:r>
        <w:rPr>
          <w:rFonts w:ascii="Arial" w:hAnsi="Arial" w:cs="Arial"/>
          <w:color w:val="002060"/>
        </w:rPr>
        <w:t xml:space="preserve">4.0 </w:t>
      </w:r>
      <w:r w:rsidR="008E4E40" w:rsidRPr="00924FEB">
        <w:rPr>
          <w:rFonts w:ascii="Arial" w:hAnsi="Arial" w:cs="Arial"/>
          <w:color w:val="002060"/>
        </w:rPr>
        <w:t>Mid</w:t>
      </w:r>
      <w:r w:rsidR="00BE373E" w:rsidRPr="00924FEB">
        <w:rPr>
          <w:rFonts w:ascii="Arial" w:hAnsi="Arial" w:cs="Arial"/>
          <w:color w:val="002060"/>
        </w:rPr>
        <w:t xml:space="preserve">scale and </w:t>
      </w:r>
      <w:r w:rsidR="008E4E40" w:rsidRPr="00924FEB">
        <w:rPr>
          <w:rFonts w:ascii="Arial" w:hAnsi="Arial" w:cs="Arial"/>
          <w:color w:val="002060"/>
        </w:rPr>
        <w:t xml:space="preserve">economy </w:t>
      </w:r>
      <w:r w:rsidR="00BE373E" w:rsidRPr="00924FEB">
        <w:rPr>
          <w:rFonts w:ascii="Arial" w:hAnsi="Arial" w:cs="Arial"/>
          <w:color w:val="002060"/>
        </w:rPr>
        <w:t>class accommodation</w:t>
      </w:r>
      <w:bookmarkEnd w:id="22"/>
    </w:p>
    <w:p w14:paraId="72BCD947" w14:textId="77777777" w:rsidR="00BE373E" w:rsidRPr="00924FEB" w:rsidRDefault="00BE373E" w:rsidP="00BE373E">
      <w:pPr>
        <w:rPr>
          <w:rFonts w:ascii="Arial" w:hAnsi="Arial" w:cs="Arial"/>
          <w:sz w:val="4"/>
          <w:szCs w:val="4"/>
        </w:rPr>
      </w:pPr>
      <w:r w:rsidRPr="00924FEB">
        <w:rPr>
          <w:rFonts w:ascii="Arial" w:hAnsi="Arial" w:cs="Arial"/>
        </w:rPr>
        <w:t xml:space="preserve"> </w:t>
      </w:r>
    </w:p>
    <w:p w14:paraId="6888A95E" w14:textId="0CD2C96F" w:rsidR="00056D7A" w:rsidRPr="00924FEB" w:rsidRDefault="00056D7A" w:rsidP="00056D7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Generated $</w:t>
      </w:r>
      <w:r w:rsidR="00B90992" w:rsidRPr="00924FEB">
        <w:rPr>
          <w:rFonts w:ascii="Arial" w:hAnsi="Arial" w:cs="Arial"/>
          <w:color w:val="auto"/>
          <w:sz w:val="23"/>
          <w:szCs w:val="23"/>
        </w:rPr>
        <w:t>6</w:t>
      </w:r>
      <w:r w:rsidR="002D0669">
        <w:rPr>
          <w:rFonts w:ascii="Arial" w:hAnsi="Arial" w:cs="Arial"/>
          <w:color w:val="auto"/>
          <w:sz w:val="23"/>
          <w:szCs w:val="23"/>
        </w:rPr>
        <w:t xml:space="preserve">58.3 </w:t>
      </w:r>
      <w:r w:rsidRPr="00924FEB">
        <w:rPr>
          <w:rFonts w:ascii="Arial" w:hAnsi="Arial" w:cs="Arial"/>
          <w:color w:val="auto"/>
          <w:sz w:val="23"/>
          <w:szCs w:val="23"/>
        </w:rPr>
        <w:t>million in revenue in 202</w:t>
      </w:r>
      <w:r w:rsidR="00924FEB">
        <w:rPr>
          <w:rFonts w:ascii="Arial" w:hAnsi="Arial" w:cs="Arial"/>
          <w:color w:val="auto"/>
          <w:sz w:val="23"/>
          <w:szCs w:val="23"/>
        </w:rPr>
        <w:t>3</w:t>
      </w:r>
      <w:r w:rsidRPr="00924FEB">
        <w:rPr>
          <w:rFonts w:ascii="Arial" w:hAnsi="Arial" w:cs="Arial"/>
          <w:color w:val="auto"/>
          <w:sz w:val="23"/>
          <w:szCs w:val="23"/>
        </w:rPr>
        <w:t>-2</w:t>
      </w:r>
      <w:r w:rsidR="00924FEB">
        <w:rPr>
          <w:rFonts w:ascii="Arial" w:hAnsi="Arial" w:cs="Arial"/>
          <w:color w:val="auto"/>
          <w:sz w:val="23"/>
          <w:szCs w:val="23"/>
        </w:rPr>
        <w:t>4</w:t>
      </w:r>
      <w:r w:rsidRPr="00924FEB">
        <w:rPr>
          <w:rFonts w:ascii="Arial" w:hAnsi="Arial" w:cs="Arial"/>
          <w:color w:val="auto"/>
          <w:sz w:val="23"/>
          <w:szCs w:val="23"/>
        </w:rPr>
        <w:t>.</w:t>
      </w:r>
    </w:p>
    <w:p w14:paraId="5DD67248" w14:textId="61C9D45C" w:rsidR="00056D7A" w:rsidRPr="00924FEB" w:rsidRDefault="00056D7A" w:rsidP="00056D7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Noted an average occupancy rate of </w:t>
      </w:r>
      <w:r w:rsidR="00B90992" w:rsidRPr="00924FEB">
        <w:rPr>
          <w:rFonts w:ascii="Arial" w:hAnsi="Arial" w:cs="Arial"/>
          <w:color w:val="auto"/>
          <w:sz w:val="23"/>
          <w:szCs w:val="23"/>
        </w:rPr>
        <w:t>6</w:t>
      </w:r>
      <w:r w:rsidR="002D0669">
        <w:rPr>
          <w:rFonts w:ascii="Arial" w:hAnsi="Arial" w:cs="Arial"/>
          <w:color w:val="auto"/>
          <w:sz w:val="23"/>
          <w:szCs w:val="23"/>
        </w:rPr>
        <w:t>6.3</w:t>
      </w:r>
      <w:r w:rsidRPr="00924FEB">
        <w:rPr>
          <w:rFonts w:ascii="Arial" w:hAnsi="Arial" w:cs="Arial"/>
          <w:color w:val="auto"/>
          <w:sz w:val="23"/>
          <w:szCs w:val="23"/>
        </w:rPr>
        <w:t xml:space="preserve">%. This was a </w:t>
      </w:r>
      <w:r w:rsidR="002D0669">
        <w:rPr>
          <w:rFonts w:ascii="Arial" w:hAnsi="Arial" w:cs="Arial"/>
          <w:color w:val="auto"/>
          <w:sz w:val="23"/>
          <w:szCs w:val="23"/>
        </w:rPr>
        <w:t>0.8</w:t>
      </w:r>
      <w:r w:rsidRPr="00924FEB">
        <w:rPr>
          <w:rFonts w:ascii="Arial" w:hAnsi="Arial" w:cs="Arial"/>
          <w:color w:val="auto"/>
          <w:sz w:val="23"/>
          <w:szCs w:val="23"/>
        </w:rPr>
        <w:t xml:space="preserve">% </w:t>
      </w:r>
      <w:r w:rsidR="002D0669">
        <w:rPr>
          <w:rFonts w:ascii="Arial" w:hAnsi="Arial" w:cs="Arial"/>
          <w:color w:val="auto"/>
          <w:sz w:val="23"/>
          <w:szCs w:val="23"/>
        </w:rPr>
        <w:t>de</w:t>
      </w:r>
      <w:r w:rsidRPr="00924FEB">
        <w:rPr>
          <w:rFonts w:ascii="Arial" w:hAnsi="Arial" w:cs="Arial"/>
          <w:color w:val="auto"/>
          <w:sz w:val="23"/>
          <w:szCs w:val="23"/>
        </w:rPr>
        <w:t xml:space="preserve">crease from </w:t>
      </w:r>
      <w:r w:rsidR="00924FEB" w:rsidRPr="00924FEB">
        <w:rPr>
          <w:rFonts w:ascii="Arial" w:hAnsi="Arial" w:cs="Arial"/>
          <w:color w:val="auto"/>
          <w:sz w:val="23"/>
          <w:szCs w:val="23"/>
        </w:rPr>
        <w:t>202</w:t>
      </w:r>
      <w:r w:rsidR="00924FEB">
        <w:rPr>
          <w:rFonts w:ascii="Arial" w:hAnsi="Arial" w:cs="Arial"/>
          <w:color w:val="auto"/>
          <w:sz w:val="23"/>
          <w:szCs w:val="23"/>
        </w:rPr>
        <w:t>2-23</w:t>
      </w:r>
      <w:r w:rsidRPr="00924FEB">
        <w:rPr>
          <w:rFonts w:ascii="Arial" w:hAnsi="Arial" w:cs="Arial"/>
          <w:color w:val="auto"/>
          <w:sz w:val="23"/>
          <w:szCs w:val="23"/>
        </w:rPr>
        <w:t>.</w:t>
      </w:r>
    </w:p>
    <w:p w14:paraId="06EB2D05" w14:textId="2EC5B0A5" w:rsidR="00056D7A" w:rsidRPr="00924FEB" w:rsidRDefault="00056D7A" w:rsidP="00056D7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Noted an average revenue per room of $</w:t>
      </w:r>
      <w:r w:rsidR="002D0669">
        <w:rPr>
          <w:rFonts w:ascii="Arial" w:hAnsi="Arial" w:cs="Arial"/>
          <w:color w:val="auto"/>
          <w:sz w:val="23"/>
          <w:szCs w:val="23"/>
        </w:rPr>
        <w:t>94.49</w:t>
      </w:r>
      <w:r w:rsidRPr="00924FEB">
        <w:rPr>
          <w:rFonts w:ascii="Arial" w:hAnsi="Arial" w:cs="Arial"/>
          <w:color w:val="auto"/>
          <w:sz w:val="23"/>
          <w:szCs w:val="23"/>
        </w:rPr>
        <w:t xml:space="preserve">. This was a </w:t>
      </w:r>
      <w:r w:rsidR="002D0669">
        <w:rPr>
          <w:rFonts w:ascii="Arial" w:hAnsi="Arial" w:cs="Arial"/>
          <w:color w:val="auto"/>
          <w:sz w:val="23"/>
          <w:szCs w:val="23"/>
        </w:rPr>
        <w:t>2.9</w:t>
      </w:r>
      <w:r w:rsidRPr="00924FEB">
        <w:rPr>
          <w:rFonts w:ascii="Arial" w:hAnsi="Arial" w:cs="Arial"/>
          <w:color w:val="auto"/>
          <w:sz w:val="23"/>
          <w:szCs w:val="23"/>
        </w:rPr>
        <w:t xml:space="preserve">% </w:t>
      </w:r>
      <w:r w:rsidR="002D0669">
        <w:rPr>
          <w:rFonts w:ascii="Arial" w:hAnsi="Arial" w:cs="Arial"/>
          <w:color w:val="auto"/>
          <w:sz w:val="23"/>
          <w:szCs w:val="23"/>
        </w:rPr>
        <w:t>de</w:t>
      </w:r>
      <w:r w:rsidRPr="00924FEB">
        <w:rPr>
          <w:rFonts w:ascii="Arial" w:hAnsi="Arial" w:cs="Arial"/>
          <w:color w:val="auto"/>
          <w:sz w:val="23"/>
          <w:szCs w:val="23"/>
        </w:rPr>
        <w:t xml:space="preserve">crease from </w:t>
      </w:r>
      <w:r w:rsidR="00924FEB" w:rsidRPr="00924FEB">
        <w:rPr>
          <w:rFonts w:ascii="Arial" w:hAnsi="Arial" w:cs="Arial"/>
          <w:color w:val="auto"/>
          <w:sz w:val="23"/>
          <w:szCs w:val="23"/>
        </w:rPr>
        <w:t>202</w:t>
      </w:r>
      <w:r w:rsidR="00924FEB">
        <w:rPr>
          <w:rFonts w:ascii="Arial" w:hAnsi="Arial" w:cs="Arial"/>
          <w:color w:val="auto"/>
          <w:sz w:val="23"/>
          <w:szCs w:val="23"/>
        </w:rPr>
        <w:t>2-23</w:t>
      </w:r>
      <w:r w:rsidRPr="00924FEB">
        <w:rPr>
          <w:rFonts w:ascii="Arial" w:hAnsi="Arial" w:cs="Arial"/>
          <w:color w:val="auto"/>
          <w:sz w:val="23"/>
          <w:szCs w:val="23"/>
        </w:rPr>
        <w:t>.</w:t>
      </w:r>
    </w:p>
    <w:p w14:paraId="37FC9581" w14:textId="77777777" w:rsidR="00001900" w:rsidRPr="00924FEB" w:rsidRDefault="00001900" w:rsidP="003E0696">
      <w:pPr>
        <w:rPr>
          <w:rFonts w:ascii="Arial" w:eastAsiaTheme="majorEastAsia" w:hAnsi="Arial" w:cs="Arial"/>
          <w:sz w:val="40"/>
          <w:szCs w:val="40"/>
        </w:rPr>
      </w:pPr>
      <w:r w:rsidRPr="00924FEB">
        <w:rPr>
          <w:rFonts w:ascii="Arial" w:hAnsi="Arial" w:cs="Arial"/>
        </w:rPr>
        <w:br w:type="page"/>
      </w:r>
    </w:p>
    <w:p w14:paraId="5C5571F4" w14:textId="50A3204F" w:rsidR="008E4E40" w:rsidRPr="00924FEB" w:rsidRDefault="002D0669" w:rsidP="008E4E40">
      <w:pPr>
        <w:pStyle w:val="Heading1"/>
        <w:rPr>
          <w:rFonts w:ascii="Arial" w:hAnsi="Arial" w:cs="Arial"/>
          <w:color w:val="002060"/>
        </w:rPr>
      </w:pPr>
      <w:bookmarkStart w:id="23" w:name="_Toc180499425"/>
      <w:r>
        <w:rPr>
          <w:rFonts w:ascii="Arial" w:hAnsi="Arial" w:cs="Arial"/>
          <w:color w:val="002060"/>
        </w:rPr>
        <w:lastRenderedPageBreak/>
        <w:t xml:space="preserve">5.0 </w:t>
      </w:r>
      <w:r w:rsidR="008E4E40" w:rsidRPr="00924FEB">
        <w:rPr>
          <w:rFonts w:ascii="Arial" w:hAnsi="Arial" w:cs="Arial"/>
          <w:color w:val="002060"/>
        </w:rPr>
        <w:t>Key results for Melbourne</w:t>
      </w:r>
      <w:bookmarkEnd w:id="23"/>
    </w:p>
    <w:p w14:paraId="550182F1" w14:textId="77777777" w:rsidR="008E4E40" w:rsidRPr="00924FEB" w:rsidRDefault="008E4E40" w:rsidP="00D031F2">
      <w:pPr>
        <w:rPr>
          <w:rFonts w:ascii="Arial" w:hAnsi="Arial" w:cs="Arial"/>
          <w:sz w:val="4"/>
          <w:szCs w:val="4"/>
        </w:rPr>
      </w:pPr>
      <w:r w:rsidRPr="00924FEB">
        <w:rPr>
          <w:rFonts w:ascii="Arial" w:hAnsi="Arial" w:cs="Arial"/>
        </w:rPr>
        <w:t xml:space="preserve"> </w:t>
      </w:r>
    </w:p>
    <w:p w14:paraId="08F6BAB8" w14:textId="6B73AB45" w:rsidR="00D4414A" w:rsidRPr="00924FEB" w:rsidRDefault="002D0669" w:rsidP="00D4414A">
      <w:pPr>
        <w:pStyle w:val="Heading2"/>
        <w:rPr>
          <w:rFonts w:ascii="Arial" w:hAnsi="Arial" w:cs="Arial"/>
          <w:color w:val="002060"/>
        </w:rPr>
      </w:pPr>
      <w:bookmarkStart w:id="24" w:name="_Toc180499426"/>
      <w:r>
        <w:rPr>
          <w:rFonts w:ascii="Arial" w:hAnsi="Arial" w:cs="Arial"/>
          <w:color w:val="002060"/>
        </w:rPr>
        <w:t xml:space="preserve">5.1 </w:t>
      </w:r>
      <w:r w:rsidR="00D4414A" w:rsidRPr="00924FEB">
        <w:rPr>
          <w:rFonts w:ascii="Arial" w:hAnsi="Arial" w:cs="Arial"/>
          <w:color w:val="002060"/>
        </w:rPr>
        <w:t>Revenue</w:t>
      </w:r>
      <w:bookmarkEnd w:id="24"/>
    </w:p>
    <w:p w14:paraId="7C65DCE3" w14:textId="402796DA" w:rsidR="00D4414A" w:rsidRPr="00924FEB" w:rsidRDefault="00D4414A" w:rsidP="00D4414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In </w:t>
      </w:r>
      <w:r w:rsidR="00924FEB">
        <w:rPr>
          <w:rFonts w:ascii="Arial" w:hAnsi="Arial" w:cs="Arial"/>
          <w:color w:val="auto"/>
          <w:sz w:val="23"/>
          <w:szCs w:val="23"/>
        </w:rPr>
        <w:t xml:space="preserve">2023-24 </w:t>
      </w:r>
      <w:r w:rsidRPr="00924FEB">
        <w:rPr>
          <w:rFonts w:ascii="Arial" w:hAnsi="Arial" w:cs="Arial"/>
          <w:color w:val="auto"/>
          <w:sz w:val="23"/>
          <w:szCs w:val="23"/>
        </w:rPr>
        <w:t>Melbourne’s accommodation sector generated $2.</w:t>
      </w:r>
      <w:r w:rsidR="002D0669">
        <w:rPr>
          <w:rFonts w:ascii="Arial" w:hAnsi="Arial" w:cs="Arial"/>
          <w:color w:val="auto"/>
          <w:sz w:val="23"/>
          <w:szCs w:val="23"/>
        </w:rPr>
        <w:t>4</w:t>
      </w:r>
      <w:r w:rsidRPr="00924FEB">
        <w:rPr>
          <w:rFonts w:ascii="Arial" w:hAnsi="Arial" w:cs="Arial"/>
          <w:color w:val="auto"/>
          <w:sz w:val="23"/>
          <w:szCs w:val="23"/>
        </w:rPr>
        <w:t xml:space="preserve"> billion in total revenue.</w:t>
      </w:r>
    </w:p>
    <w:p w14:paraId="6AD7EB92" w14:textId="623B6E91" w:rsidR="00D4414A" w:rsidRPr="00924FEB" w:rsidRDefault="00D4414A" w:rsidP="00D4414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This represents a</w:t>
      </w:r>
      <w:r w:rsidR="00FC661B">
        <w:rPr>
          <w:rFonts w:ascii="Arial" w:hAnsi="Arial" w:cs="Arial"/>
          <w:color w:val="auto"/>
          <w:sz w:val="23"/>
          <w:szCs w:val="23"/>
        </w:rPr>
        <w:t>n</w:t>
      </w:r>
      <w:r w:rsidRPr="00924FEB">
        <w:rPr>
          <w:rFonts w:ascii="Arial" w:hAnsi="Arial" w:cs="Arial"/>
          <w:color w:val="auto"/>
          <w:sz w:val="23"/>
          <w:szCs w:val="23"/>
        </w:rPr>
        <w:t xml:space="preserve"> </w:t>
      </w:r>
      <w:r w:rsidR="002D0669">
        <w:rPr>
          <w:rFonts w:ascii="Arial" w:hAnsi="Arial" w:cs="Arial"/>
          <w:color w:val="auto"/>
          <w:sz w:val="23"/>
          <w:szCs w:val="23"/>
        </w:rPr>
        <w:t>8.4</w:t>
      </w:r>
      <w:r w:rsidRPr="00924FEB">
        <w:rPr>
          <w:rFonts w:ascii="Arial" w:hAnsi="Arial" w:cs="Arial"/>
          <w:color w:val="auto"/>
          <w:sz w:val="23"/>
          <w:szCs w:val="23"/>
        </w:rPr>
        <w:t xml:space="preserve">% increase from </w:t>
      </w:r>
      <w:r w:rsidR="00924FEB" w:rsidRPr="00924FEB">
        <w:rPr>
          <w:rFonts w:ascii="Arial" w:hAnsi="Arial" w:cs="Arial"/>
          <w:color w:val="auto"/>
          <w:sz w:val="23"/>
          <w:szCs w:val="23"/>
        </w:rPr>
        <w:t>202</w:t>
      </w:r>
      <w:r w:rsidR="00924FEB">
        <w:rPr>
          <w:rFonts w:ascii="Arial" w:hAnsi="Arial" w:cs="Arial"/>
          <w:color w:val="auto"/>
          <w:sz w:val="23"/>
          <w:szCs w:val="23"/>
        </w:rPr>
        <w:t>2-23</w:t>
      </w:r>
      <w:r w:rsidRPr="00924FEB">
        <w:rPr>
          <w:rFonts w:ascii="Arial" w:hAnsi="Arial" w:cs="Arial"/>
          <w:color w:val="auto"/>
          <w:sz w:val="23"/>
          <w:szCs w:val="23"/>
        </w:rPr>
        <w:t>.</w:t>
      </w:r>
    </w:p>
    <w:p w14:paraId="11D90648" w14:textId="74B3E736" w:rsidR="00D4414A" w:rsidRPr="00924FEB" w:rsidRDefault="002D0669" w:rsidP="00D4414A">
      <w:pPr>
        <w:pStyle w:val="Heading2"/>
        <w:rPr>
          <w:rFonts w:ascii="Arial" w:hAnsi="Arial" w:cs="Arial"/>
          <w:color w:val="002060"/>
        </w:rPr>
      </w:pPr>
      <w:bookmarkStart w:id="25" w:name="_Toc180499427"/>
      <w:r>
        <w:rPr>
          <w:rFonts w:ascii="Arial" w:hAnsi="Arial" w:cs="Arial"/>
          <w:color w:val="002060"/>
        </w:rPr>
        <w:t xml:space="preserve">5.2 </w:t>
      </w:r>
      <w:r w:rsidR="00D4414A" w:rsidRPr="00924FEB">
        <w:rPr>
          <w:rFonts w:ascii="Arial" w:hAnsi="Arial" w:cs="Arial"/>
          <w:color w:val="002060"/>
        </w:rPr>
        <w:t>Occupancy</w:t>
      </w:r>
      <w:bookmarkEnd w:id="25"/>
    </w:p>
    <w:p w14:paraId="4DD2AE54" w14:textId="14BD7D3C" w:rsidR="00D4414A" w:rsidRPr="00924FEB" w:rsidRDefault="00D4414A" w:rsidP="00D4414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In </w:t>
      </w:r>
      <w:r w:rsidR="00924FEB">
        <w:rPr>
          <w:rFonts w:ascii="Arial" w:hAnsi="Arial" w:cs="Arial"/>
          <w:color w:val="auto"/>
          <w:sz w:val="23"/>
          <w:szCs w:val="23"/>
        </w:rPr>
        <w:t xml:space="preserve">2023-24 </w:t>
      </w:r>
      <w:r w:rsidRPr="00924FEB">
        <w:rPr>
          <w:rFonts w:ascii="Arial" w:hAnsi="Arial" w:cs="Arial"/>
          <w:color w:val="auto"/>
          <w:sz w:val="23"/>
          <w:szCs w:val="23"/>
        </w:rPr>
        <w:t xml:space="preserve">Melbourne’s accommodation sector noted an average occupancy rate of </w:t>
      </w:r>
      <w:r w:rsidR="002D0669">
        <w:rPr>
          <w:rFonts w:ascii="Arial" w:hAnsi="Arial" w:cs="Arial"/>
          <w:color w:val="auto"/>
          <w:sz w:val="23"/>
          <w:szCs w:val="23"/>
        </w:rPr>
        <w:t>70.4</w:t>
      </w:r>
      <w:r w:rsidRPr="00924FEB">
        <w:rPr>
          <w:rFonts w:ascii="Arial" w:hAnsi="Arial" w:cs="Arial"/>
          <w:color w:val="auto"/>
          <w:sz w:val="23"/>
          <w:szCs w:val="23"/>
        </w:rPr>
        <w:t xml:space="preserve">%.  </w:t>
      </w:r>
    </w:p>
    <w:p w14:paraId="2676B2DF" w14:textId="2EC99925" w:rsidR="00D4414A" w:rsidRPr="00924FEB" w:rsidRDefault="00D4414A" w:rsidP="00D4414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This represents a </w:t>
      </w:r>
      <w:r w:rsidR="002D0669">
        <w:rPr>
          <w:rFonts w:ascii="Arial" w:hAnsi="Arial" w:cs="Arial"/>
          <w:color w:val="auto"/>
          <w:sz w:val="23"/>
          <w:szCs w:val="23"/>
        </w:rPr>
        <w:t>5.2</w:t>
      </w:r>
      <w:r w:rsidRPr="00924FEB">
        <w:rPr>
          <w:rFonts w:ascii="Arial" w:hAnsi="Arial" w:cs="Arial"/>
          <w:color w:val="auto"/>
          <w:sz w:val="23"/>
          <w:szCs w:val="23"/>
        </w:rPr>
        <w:t xml:space="preserve">% increase from </w:t>
      </w:r>
      <w:r w:rsidR="00924FEB" w:rsidRPr="00924FEB">
        <w:rPr>
          <w:rFonts w:ascii="Arial" w:hAnsi="Arial" w:cs="Arial"/>
          <w:color w:val="auto"/>
          <w:sz w:val="23"/>
          <w:szCs w:val="23"/>
        </w:rPr>
        <w:t>202</w:t>
      </w:r>
      <w:r w:rsidR="00924FEB">
        <w:rPr>
          <w:rFonts w:ascii="Arial" w:hAnsi="Arial" w:cs="Arial"/>
          <w:color w:val="auto"/>
          <w:sz w:val="23"/>
          <w:szCs w:val="23"/>
        </w:rPr>
        <w:t>2-23</w:t>
      </w:r>
      <w:r w:rsidRPr="00924FEB">
        <w:rPr>
          <w:rFonts w:ascii="Arial" w:hAnsi="Arial" w:cs="Arial"/>
          <w:color w:val="auto"/>
          <w:sz w:val="23"/>
          <w:szCs w:val="23"/>
        </w:rPr>
        <w:t>.</w:t>
      </w:r>
    </w:p>
    <w:p w14:paraId="78752AA9" w14:textId="7BCC6F26" w:rsidR="00D4414A" w:rsidRPr="00924FEB" w:rsidRDefault="002D0669" w:rsidP="00D4414A">
      <w:pPr>
        <w:pStyle w:val="Heading2"/>
        <w:rPr>
          <w:rFonts w:ascii="Arial" w:hAnsi="Arial" w:cs="Arial"/>
          <w:color w:val="002060"/>
        </w:rPr>
      </w:pPr>
      <w:bookmarkStart w:id="26" w:name="_Toc180499428"/>
      <w:r>
        <w:rPr>
          <w:rFonts w:ascii="Arial" w:hAnsi="Arial" w:cs="Arial"/>
          <w:color w:val="002060"/>
        </w:rPr>
        <w:t xml:space="preserve">5.3 </w:t>
      </w:r>
      <w:r w:rsidR="00D4414A" w:rsidRPr="00924FEB">
        <w:rPr>
          <w:rFonts w:ascii="Arial" w:hAnsi="Arial" w:cs="Arial"/>
          <w:color w:val="002060"/>
        </w:rPr>
        <w:t>Room nights occupied</w:t>
      </w:r>
      <w:bookmarkEnd w:id="26"/>
    </w:p>
    <w:p w14:paraId="41F28184" w14:textId="3B8BF471" w:rsidR="00D4414A" w:rsidRPr="00924FEB" w:rsidRDefault="00D4414A" w:rsidP="00D4414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In </w:t>
      </w:r>
      <w:r w:rsidR="00924FEB">
        <w:rPr>
          <w:rFonts w:ascii="Arial" w:hAnsi="Arial" w:cs="Arial"/>
          <w:color w:val="auto"/>
          <w:sz w:val="23"/>
          <w:szCs w:val="23"/>
        </w:rPr>
        <w:t xml:space="preserve">2023-24 </w:t>
      </w:r>
      <w:r w:rsidRPr="00924FEB">
        <w:rPr>
          <w:rFonts w:ascii="Arial" w:hAnsi="Arial" w:cs="Arial"/>
          <w:color w:val="auto"/>
          <w:sz w:val="23"/>
          <w:szCs w:val="23"/>
        </w:rPr>
        <w:t xml:space="preserve">Melbourne’s accommodation sector noted </w:t>
      </w:r>
      <w:r w:rsidR="002D0669">
        <w:rPr>
          <w:rFonts w:ascii="Arial" w:hAnsi="Arial" w:cs="Arial"/>
          <w:color w:val="auto"/>
          <w:sz w:val="23"/>
          <w:szCs w:val="23"/>
        </w:rPr>
        <w:t>11.0</w:t>
      </w:r>
      <w:r w:rsidRPr="00924FEB">
        <w:rPr>
          <w:rFonts w:ascii="Arial" w:hAnsi="Arial" w:cs="Arial"/>
          <w:color w:val="auto"/>
          <w:sz w:val="23"/>
          <w:szCs w:val="23"/>
        </w:rPr>
        <w:t xml:space="preserve"> million rooms nights occupied</w:t>
      </w:r>
      <w:r w:rsidR="00E551A0" w:rsidRPr="00924FEB">
        <w:rPr>
          <w:rFonts w:ascii="Arial" w:hAnsi="Arial" w:cs="Arial"/>
          <w:color w:val="auto"/>
          <w:sz w:val="23"/>
          <w:szCs w:val="23"/>
        </w:rPr>
        <w:t>.</w:t>
      </w:r>
      <w:r w:rsidRPr="00924FEB">
        <w:rPr>
          <w:rFonts w:ascii="Arial" w:hAnsi="Arial" w:cs="Arial"/>
          <w:color w:val="auto"/>
          <w:sz w:val="23"/>
          <w:szCs w:val="23"/>
        </w:rPr>
        <w:t xml:space="preserve"> </w:t>
      </w:r>
    </w:p>
    <w:p w14:paraId="0F5F82FE" w14:textId="4CC9951C" w:rsidR="00D4414A" w:rsidRPr="00924FEB" w:rsidRDefault="00D4414A" w:rsidP="00D4414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This represents a </w:t>
      </w:r>
      <w:r w:rsidR="002D0669">
        <w:rPr>
          <w:rFonts w:ascii="Arial" w:hAnsi="Arial" w:cs="Arial"/>
          <w:color w:val="auto"/>
          <w:sz w:val="23"/>
          <w:szCs w:val="23"/>
        </w:rPr>
        <w:t>11.0</w:t>
      </w:r>
      <w:r w:rsidRPr="00924FEB">
        <w:rPr>
          <w:rFonts w:ascii="Arial" w:hAnsi="Arial" w:cs="Arial"/>
          <w:color w:val="auto"/>
          <w:sz w:val="23"/>
          <w:szCs w:val="23"/>
        </w:rPr>
        <w:t xml:space="preserve">% increase from </w:t>
      </w:r>
      <w:r w:rsidR="00924FEB" w:rsidRPr="00924FEB">
        <w:rPr>
          <w:rFonts w:ascii="Arial" w:hAnsi="Arial" w:cs="Arial"/>
          <w:color w:val="auto"/>
          <w:sz w:val="23"/>
          <w:szCs w:val="23"/>
        </w:rPr>
        <w:t>202</w:t>
      </w:r>
      <w:r w:rsidR="00924FEB">
        <w:rPr>
          <w:rFonts w:ascii="Arial" w:hAnsi="Arial" w:cs="Arial"/>
          <w:color w:val="auto"/>
          <w:sz w:val="23"/>
          <w:szCs w:val="23"/>
        </w:rPr>
        <w:t>2-23</w:t>
      </w:r>
      <w:r w:rsidRPr="00924FEB">
        <w:rPr>
          <w:rFonts w:ascii="Arial" w:hAnsi="Arial" w:cs="Arial"/>
          <w:color w:val="auto"/>
          <w:sz w:val="23"/>
          <w:szCs w:val="23"/>
        </w:rPr>
        <w:t>.</w:t>
      </w:r>
    </w:p>
    <w:p w14:paraId="5E30FC2D" w14:textId="53B2EF46" w:rsidR="00D4414A" w:rsidRPr="00924FEB" w:rsidRDefault="002D0669" w:rsidP="00D4414A">
      <w:pPr>
        <w:pStyle w:val="Heading2"/>
        <w:rPr>
          <w:rFonts w:ascii="Arial" w:hAnsi="Arial" w:cs="Arial"/>
          <w:color w:val="002060"/>
        </w:rPr>
      </w:pPr>
      <w:bookmarkStart w:id="27" w:name="_Toc180499429"/>
      <w:r>
        <w:rPr>
          <w:rFonts w:ascii="Arial" w:hAnsi="Arial" w:cs="Arial"/>
          <w:color w:val="002060"/>
        </w:rPr>
        <w:t xml:space="preserve">5.4 </w:t>
      </w:r>
      <w:r w:rsidR="00D4414A" w:rsidRPr="00924FEB">
        <w:rPr>
          <w:rFonts w:ascii="Arial" w:hAnsi="Arial" w:cs="Arial"/>
          <w:color w:val="002060"/>
        </w:rPr>
        <w:t xml:space="preserve">Revenue per available room </w:t>
      </w:r>
      <w:r w:rsidR="00CB2D40" w:rsidRPr="00924FEB">
        <w:rPr>
          <w:rFonts w:ascii="Arial" w:hAnsi="Arial" w:cs="Arial"/>
          <w:color w:val="002060"/>
        </w:rPr>
        <w:t>or RevPAR</w:t>
      </w:r>
      <w:bookmarkEnd w:id="27"/>
    </w:p>
    <w:p w14:paraId="18472324" w14:textId="31AFED31" w:rsidR="00D4414A" w:rsidRPr="00924FEB" w:rsidRDefault="00D4414A" w:rsidP="00D4414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In </w:t>
      </w:r>
      <w:r w:rsidR="00924FEB">
        <w:rPr>
          <w:rFonts w:ascii="Arial" w:hAnsi="Arial" w:cs="Arial"/>
          <w:color w:val="auto"/>
          <w:sz w:val="23"/>
          <w:szCs w:val="23"/>
        </w:rPr>
        <w:t xml:space="preserve">2023-24 </w:t>
      </w:r>
      <w:r w:rsidRPr="00924FEB">
        <w:rPr>
          <w:rFonts w:ascii="Arial" w:hAnsi="Arial" w:cs="Arial"/>
          <w:color w:val="auto"/>
          <w:sz w:val="23"/>
          <w:szCs w:val="23"/>
        </w:rPr>
        <w:t>Melbourne’s accommodation sector noted $</w:t>
      </w:r>
      <w:r w:rsidR="002D0669">
        <w:rPr>
          <w:rFonts w:ascii="Arial" w:hAnsi="Arial" w:cs="Arial"/>
          <w:color w:val="auto"/>
          <w:sz w:val="23"/>
          <w:szCs w:val="23"/>
        </w:rPr>
        <w:t>154.13</w:t>
      </w:r>
      <w:r w:rsidRPr="00924FEB">
        <w:rPr>
          <w:rFonts w:ascii="Arial" w:hAnsi="Arial" w:cs="Arial"/>
          <w:color w:val="auto"/>
          <w:sz w:val="23"/>
          <w:szCs w:val="23"/>
        </w:rPr>
        <w:t xml:space="preserve"> in revenue per available room.  </w:t>
      </w:r>
    </w:p>
    <w:p w14:paraId="7C1BD8EB" w14:textId="6679A436" w:rsidR="00D4414A" w:rsidRPr="00924FEB" w:rsidRDefault="00D4414A" w:rsidP="00D4414A">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This represents a</w:t>
      </w:r>
      <w:r w:rsidR="00924FEB">
        <w:rPr>
          <w:rFonts w:ascii="Arial" w:hAnsi="Arial" w:cs="Arial"/>
          <w:color w:val="auto"/>
          <w:sz w:val="23"/>
          <w:szCs w:val="23"/>
        </w:rPr>
        <w:t>n</w:t>
      </w:r>
      <w:r w:rsidRPr="00924FEB">
        <w:rPr>
          <w:rFonts w:ascii="Arial" w:hAnsi="Arial" w:cs="Arial"/>
          <w:color w:val="auto"/>
          <w:sz w:val="23"/>
          <w:szCs w:val="23"/>
        </w:rPr>
        <w:t xml:space="preserve"> </w:t>
      </w:r>
      <w:r w:rsidR="002D0669">
        <w:rPr>
          <w:rFonts w:ascii="Arial" w:hAnsi="Arial" w:cs="Arial"/>
          <w:color w:val="auto"/>
          <w:sz w:val="23"/>
          <w:szCs w:val="23"/>
        </w:rPr>
        <w:t>2.2</w:t>
      </w:r>
      <w:r w:rsidRPr="00924FEB">
        <w:rPr>
          <w:rFonts w:ascii="Arial" w:hAnsi="Arial" w:cs="Arial"/>
          <w:color w:val="auto"/>
          <w:sz w:val="23"/>
          <w:szCs w:val="23"/>
        </w:rPr>
        <w:t xml:space="preserve">% increase from </w:t>
      </w:r>
      <w:r w:rsidR="00924FEB" w:rsidRPr="00924FEB">
        <w:rPr>
          <w:rFonts w:ascii="Arial" w:hAnsi="Arial" w:cs="Arial"/>
          <w:color w:val="auto"/>
          <w:sz w:val="23"/>
          <w:szCs w:val="23"/>
        </w:rPr>
        <w:t>202</w:t>
      </w:r>
      <w:r w:rsidR="00924FEB">
        <w:rPr>
          <w:rFonts w:ascii="Arial" w:hAnsi="Arial" w:cs="Arial"/>
          <w:color w:val="auto"/>
          <w:sz w:val="23"/>
          <w:szCs w:val="23"/>
        </w:rPr>
        <w:t>2-23</w:t>
      </w:r>
      <w:r w:rsidRPr="00924FEB">
        <w:rPr>
          <w:rFonts w:ascii="Arial" w:hAnsi="Arial" w:cs="Arial"/>
          <w:color w:val="auto"/>
          <w:sz w:val="23"/>
          <w:szCs w:val="23"/>
        </w:rPr>
        <w:t>.</w:t>
      </w:r>
    </w:p>
    <w:p w14:paraId="3B343156" w14:textId="20E3AAB4" w:rsidR="008E4E40" w:rsidRDefault="002D0669" w:rsidP="0018601F">
      <w:pPr>
        <w:pStyle w:val="Heading1"/>
        <w:rPr>
          <w:rFonts w:ascii="Arial" w:hAnsi="Arial" w:cs="Arial"/>
          <w:color w:val="002060"/>
        </w:rPr>
      </w:pPr>
      <w:bookmarkStart w:id="28" w:name="_Toc180499430"/>
      <w:r>
        <w:rPr>
          <w:rFonts w:ascii="Arial" w:hAnsi="Arial" w:cs="Arial"/>
          <w:color w:val="002060"/>
        </w:rPr>
        <w:t xml:space="preserve">6.0 </w:t>
      </w:r>
      <w:r w:rsidR="0018601F" w:rsidRPr="00924FEB">
        <w:rPr>
          <w:rFonts w:ascii="Arial" w:hAnsi="Arial" w:cs="Arial"/>
          <w:color w:val="002060"/>
        </w:rPr>
        <w:t>Supply indicators</w:t>
      </w:r>
      <w:r w:rsidR="00476D92" w:rsidRPr="00924FEB">
        <w:rPr>
          <w:rFonts w:ascii="Arial" w:hAnsi="Arial" w:cs="Arial"/>
          <w:color w:val="002060"/>
        </w:rPr>
        <w:t xml:space="preserve"> for Victoria</w:t>
      </w:r>
      <w:bookmarkEnd w:id="28"/>
    </w:p>
    <w:p w14:paraId="2CE5519E" w14:textId="77777777" w:rsidR="002D0669" w:rsidRPr="002D0669" w:rsidRDefault="002D0669" w:rsidP="002D0669">
      <w:pPr>
        <w:rPr>
          <w:sz w:val="4"/>
          <w:szCs w:val="4"/>
        </w:rPr>
      </w:pPr>
    </w:p>
    <w:p w14:paraId="49B849A8" w14:textId="189B7F52" w:rsidR="00476D92" w:rsidRPr="00924FEB" w:rsidRDefault="002D0669" w:rsidP="00476D92">
      <w:pPr>
        <w:pStyle w:val="Heading2"/>
        <w:rPr>
          <w:rFonts w:ascii="Arial" w:hAnsi="Arial" w:cs="Arial"/>
          <w:color w:val="002060"/>
        </w:rPr>
      </w:pPr>
      <w:bookmarkStart w:id="29" w:name="_Toc180499431"/>
      <w:r>
        <w:rPr>
          <w:rFonts w:ascii="Arial" w:hAnsi="Arial" w:cs="Arial"/>
          <w:color w:val="002060"/>
        </w:rPr>
        <w:t xml:space="preserve">6.1 </w:t>
      </w:r>
      <w:r w:rsidR="00476D92" w:rsidRPr="00924FEB">
        <w:rPr>
          <w:rFonts w:ascii="Arial" w:hAnsi="Arial" w:cs="Arial"/>
          <w:color w:val="002060"/>
        </w:rPr>
        <w:t>Rooms available</w:t>
      </w:r>
      <w:bookmarkEnd w:id="29"/>
      <w:r w:rsidR="00476D92" w:rsidRPr="00924FEB">
        <w:rPr>
          <w:rFonts w:ascii="Arial" w:hAnsi="Arial" w:cs="Arial"/>
          <w:color w:val="002060"/>
        </w:rPr>
        <w:t xml:space="preserve"> </w:t>
      </w:r>
    </w:p>
    <w:p w14:paraId="3DEE9C81" w14:textId="518A0087" w:rsidR="00476D92" w:rsidRPr="00924FEB" w:rsidRDefault="00476D92" w:rsidP="00476D92">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 xml:space="preserve">In </w:t>
      </w:r>
      <w:r w:rsidR="00924FEB">
        <w:rPr>
          <w:rFonts w:ascii="Arial" w:hAnsi="Arial" w:cs="Arial"/>
          <w:color w:val="auto"/>
          <w:sz w:val="23"/>
          <w:szCs w:val="23"/>
        </w:rPr>
        <w:t xml:space="preserve">2023-24 </w:t>
      </w:r>
      <w:r w:rsidRPr="00924FEB">
        <w:rPr>
          <w:rFonts w:ascii="Arial" w:hAnsi="Arial" w:cs="Arial"/>
          <w:color w:val="auto"/>
          <w:sz w:val="23"/>
          <w:szCs w:val="23"/>
        </w:rPr>
        <w:t xml:space="preserve">Victoria’s accommodation sector noted </w:t>
      </w:r>
      <w:r w:rsidR="00910835">
        <w:rPr>
          <w:rFonts w:ascii="Arial" w:hAnsi="Arial" w:cs="Arial"/>
          <w:color w:val="auto"/>
          <w:sz w:val="23"/>
          <w:szCs w:val="23"/>
        </w:rPr>
        <w:t>23.</w:t>
      </w:r>
      <w:r w:rsidR="008F04D1">
        <w:rPr>
          <w:rFonts w:ascii="Arial" w:hAnsi="Arial" w:cs="Arial"/>
          <w:color w:val="auto"/>
          <w:sz w:val="23"/>
          <w:szCs w:val="23"/>
        </w:rPr>
        <w:t>3</w:t>
      </w:r>
      <w:r w:rsidR="008F04D1" w:rsidRPr="00924FEB">
        <w:rPr>
          <w:rFonts w:ascii="Arial" w:hAnsi="Arial" w:cs="Arial"/>
          <w:color w:val="auto"/>
          <w:sz w:val="23"/>
          <w:szCs w:val="23"/>
        </w:rPr>
        <w:t xml:space="preserve"> </w:t>
      </w:r>
      <w:r w:rsidRPr="00924FEB">
        <w:rPr>
          <w:rFonts w:ascii="Arial" w:hAnsi="Arial" w:cs="Arial"/>
          <w:color w:val="auto"/>
          <w:sz w:val="23"/>
          <w:szCs w:val="23"/>
        </w:rPr>
        <w:t xml:space="preserve">million rooms available.  </w:t>
      </w:r>
    </w:p>
    <w:p w14:paraId="780828FD" w14:textId="24B4113B" w:rsidR="00440E1A" w:rsidRPr="00924FEB" w:rsidRDefault="00476D92" w:rsidP="00476D92">
      <w:pPr>
        <w:pStyle w:val="ListParagraph"/>
        <w:numPr>
          <w:ilvl w:val="0"/>
          <w:numId w:val="2"/>
        </w:numPr>
        <w:rPr>
          <w:rFonts w:ascii="Arial" w:hAnsi="Arial" w:cs="Arial"/>
        </w:rPr>
      </w:pPr>
      <w:r w:rsidRPr="00924FEB">
        <w:rPr>
          <w:rFonts w:ascii="Arial" w:hAnsi="Arial" w:cs="Arial"/>
          <w:sz w:val="23"/>
          <w:szCs w:val="23"/>
        </w:rPr>
        <w:t xml:space="preserve">This represents a </w:t>
      </w:r>
      <w:r w:rsidR="00910835">
        <w:rPr>
          <w:rFonts w:ascii="Arial" w:hAnsi="Arial" w:cs="Arial"/>
          <w:sz w:val="23"/>
          <w:szCs w:val="23"/>
        </w:rPr>
        <w:t>4.3</w:t>
      </w:r>
      <w:r w:rsidRPr="00924FEB">
        <w:rPr>
          <w:rFonts w:ascii="Arial" w:hAnsi="Arial" w:cs="Arial"/>
          <w:sz w:val="23"/>
          <w:szCs w:val="23"/>
        </w:rPr>
        <w:t xml:space="preserve">% increase from </w:t>
      </w:r>
      <w:r w:rsidR="00924FEB" w:rsidRPr="00924FEB">
        <w:rPr>
          <w:rFonts w:ascii="Arial" w:hAnsi="Arial" w:cs="Arial"/>
          <w:sz w:val="23"/>
          <w:szCs w:val="23"/>
        </w:rPr>
        <w:t>202</w:t>
      </w:r>
      <w:r w:rsidR="00924FEB">
        <w:rPr>
          <w:rFonts w:ascii="Arial" w:hAnsi="Arial" w:cs="Arial"/>
          <w:sz w:val="23"/>
          <w:szCs w:val="23"/>
        </w:rPr>
        <w:t>2-23</w:t>
      </w:r>
      <w:r w:rsidRPr="00924FEB">
        <w:rPr>
          <w:rFonts w:ascii="Arial" w:hAnsi="Arial" w:cs="Arial"/>
          <w:sz w:val="23"/>
          <w:szCs w:val="23"/>
        </w:rPr>
        <w:t>.</w:t>
      </w:r>
    </w:p>
    <w:p w14:paraId="7E25D41D" w14:textId="2A7BF0DB" w:rsidR="00476D92" w:rsidRPr="00924FEB" w:rsidRDefault="002D0669" w:rsidP="00476D92">
      <w:pPr>
        <w:pStyle w:val="Heading2"/>
        <w:rPr>
          <w:rFonts w:ascii="Arial" w:hAnsi="Arial" w:cs="Arial"/>
          <w:color w:val="002060"/>
        </w:rPr>
      </w:pPr>
      <w:bookmarkStart w:id="30" w:name="_Toc180499432"/>
      <w:r>
        <w:rPr>
          <w:rFonts w:ascii="Arial" w:hAnsi="Arial" w:cs="Arial"/>
          <w:color w:val="002060"/>
        </w:rPr>
        <w:t xml:space="preserve">6.2 </w:t>
      </w:r>
      <w:r w:rsidR="00476D92" w:rsidRPr="00924FEB">
        <w:rPr>
          <w:rFonts w:ascii="Arial" w:hAnsi="Arial" w:cs="Arial"/>
          <w:color w:val="002060"/>
        </w:rPr>
        <w:t>Supply by accommodation type</w:t>
      </w:r>
      <w:bookmarkEnd w:id="30"/>
    </w:p>
    <w:p w14:paraId="6C21E79A" w14:textId="1BE055C8" w:rsidR="002D1AFD" w:rsidRPr="00924FEB" w:rsidRDefault="0014649D" w:rsidP="002D1AFD">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11.</w:t>
      </w:r>
      <w:r w:rsidR="00910835">
        <w:rPr>
          <w:rFonts w:ascii="Arial" w:hAnsi="Arial" w:cs="Arial"/>
          <w:color w:val="auto"/>
          <w:sz w:val="23"/>
          <w:szCs w:val="23"/>
        </w:rPr>
        <w:t>9</w:t>
      </w:r>
      <w:r w:rsidRPr="00924FEB">
        <w:rPr>
          <w:rFonts w:ascii="Arial" w:hAnsi="Arial" w:cs="Arial"/>
          <w:color w:val="auto"/>
          <w:sz w:val="23"/>
          <w:szCs w:val="23"/>
        </w:rPr>
        <w:t xml:space="preserve"> million hotels and resorts in </w:t>
      </w:r>
      <w:r w:rsidR="00924FEB">
        <w:rPr>
          <w:rFonts w:ascii="Arial" w:hAnsi="Arial" w:cs="Arial"/>
          <w:color w:val="auto"/>
          <w:sz w:val="23"/>
          <w:szCs w:val="23"/>
        </w:rPr>
        <w:t>2023-24</w:t>
      </w:r>
      <w:r w:rsidRPr="00924FEB">
        <w:rPr>
          <w:rFonts w:ascii="Arial" w:hAnsi="Arial" w:cs="Arial"/>
          <w:color w:val="auto"/>
          <w:sz w:val="23"/>
          <w:szCs w:val="23"/>
        </w:rPr>
        <w:t xml:space="preserve">, up by </w:t>
      </w:r>
      <w:r w:rsidR="00910835">
        <w:rPr>
          <w:rFonts w:ascii="Arial" w:hAnsi="Arial" w:cs="Arial"/>
          <w:color w:val="auto"/>
          <w:sz w:val="23"/>
          <w:szCs w:val="23"/>
        </w:rPr>
        <w:t>5.1</w:t>
      </w:r>
      <w:r w:rsidRPr="00924FEB">
        <w:rPr>
          <w:rFonts w:ascii="Arial" w:hAnsi="Arial" w:cs="Arial"/>
          <w:color w:val="auto"/>
          <w:sz w:val="23"/>
          <w:szCs w:val="23"/>
        </w:rPr>
        <w:t xml:space="preserve">% compared to </w:t>
      </w:r>
      <w:r w:rsidR="00924FEB" w:rsidRPr="00924FEB">
        <w:rPr>
          <w:rFonts w:ascii="Arial" w:hAnsi="Arial" w:cs="Arial"/>
          <w:color w:val="auto"/>
          <w:sz w:val="23"/>
          <w:szCs w:val="23"/>
        </w:rPr>
        <w:t>202</w:t>
      </w:r>
      <w:r w:rsidR="00924FEB">
        <w:rPr>
          <w:rFonts w:ascii="Arial" w:hAnsi="Arial" w:cs="Arial"/>
          <w:color w:val="auto"/>
          <w:sz w:val="23"/>
          <w:szCs w:val="23"/>
        </w:rPr>
        <w:t>2-23</w:t>
      </w:r>
      <w:r w:rsidRPr="00924FEB">
        <w:rPr>
          <w:rFonts w:ascii="Arial" w:hAnsi="Arial" w:cs="Arial"/>
          <w:color w:val="auto"/>
          <w:sz w:val="23"/>
          <w:szCs w:val="23"/>
        </w:rPr>
        <w:t>.</w:t>
      </w:r>
    </w:p>
    <w:p w14:paraId="593683B9" w14:textId="7D31814F" w:rsidR="00DD4F8D" w:rsidRPr="00924FEB" w:rsidRDefault="00910835" w:rsidP="00DD4F8D">
      <w:pPr>
        <w:pStyle w:val="Default"/>
        <w:numPr>
          <w:ilvl w:val="0"/>
          <w:numId w:val="2"/>
        </w:numPr>
        <w:spacing w:before="120" w:after="120"/>
        <w:rPr>
          <w:rFonts w:ascii="Arial" w:hAnsi="Arial" w:cs="Arial"/>
          <w:color w:val="auto"/>
          <w:sz w:val="23"/>
          <w:szCs w:val="23"/>
        </w:rPr>
      </w:pPr>
      <w:r>
        <w:rPr>
          <w:rFonts w:ascii="Arial" w:hAnsi="Arial" w:cs="Arial"/>
          <w:color w:val="auto"/>
          <w:sz w:val="23"/>
          <w:szCs w:val="23"/>
        </w:rPr>
        <w:t>6.0</w:t>
      </w:r>
      <w:r w:rsidR="00DD4F8D" w:rsidRPr="00924FEB">
        <w:rPr>
          <w:rFonts w:ascii="Arial" w:hAnsi="Arial" w:cs="Arial"/>
          <w:color w:val="auto"/>
          <w:sz w:val="23"/>
          <w:szCs w:val="23"/>
        </w:rPr>
        <w:t xml:space="preserve"> million serviced apartments in </w:t>
      </w:r>
      <w:r w:rsidR="00924FEB">
        <w:rPr>
          <w:rFonts w:ascii="Arial" w:hAnsi="Arial" w:cs="Arial"/>
          <w:color w:val="auto"/>
          <w:sz w:val="23"/>
          <w:szCs w:val="23"/>
        </w:rPr>
        <w:t>2023-24</w:t>
      </w:r>
      <w:r w:rsidR="00DD4F8D" w:rsidRPr="00924FEB">
        <w:rPr>
          <w:rFonts w:ascii="Arial" w:hAnsi="Arial" w:cs="Arial"/>
          <w:color w:val="auto"/>
          <w:sz w:val="23"/>
          <w:szCs w:val="23"/>
        </w:rPr>
        <w:t>, up by 5.</w:t>
      </w:r>
      <w:r>
        <w:rPr>
          <w:rFonts w:ascii="Arial" w:hAnsi="Arial" w:cs="Arial"/>
          <w:color w:val="auto"/>
          <w:sz w:val="23"/>
          <w:szCs w:val="23"/>
        </w:rPr>
        <w:t>3</w:t>
      </w:r>
      <w:r w:rsidR="00DD4F8D" w:rsidRPr="00924FEB">
        <w:rPr>
          <w:rFonts w:ascii="Arial" w:hAnsi="Arial" w:cs="Arial"/>
          <w:color w:val="auto"/>
          <w:sz w:val="23"/>
          <w:szCs w:val="23"/>
        </w:rPr>
        <w:t xml:space="preserve">% compared to </w:t>
      </w:r>
      <w:r w:rsidR="00924FEB" w:rsidRPr="00924FEB">
        <w:rPr>
          <w:rFonts w:ascii="Arial" w:hAnsi="Arial" w:cs="Arial"/>
          <w:color w:val="auto"/>
          <w:sz w:val="23"/>
          <w:szCs w:val="23"/>
        </w:rPr>
        <w:t>202</w:t>
      </w:r>
      <w:r w:rsidR="00924FEB">
        <w:rPr>
          <w:rFonts w:ascii="Arial" w:hAnsi="Arial" w:cs="Arial"/>
          <w:color w:val="auto"/>
          <w:sz w:val="23"/>
          <w:szCs w:val="23"/>
        </w:rPr>
        <w:t>2-23</w:t>
      </w:r>
      <w:r w:rsidR="00DD4F8D" w:rsidRPr="00924FEB">
        <w:rPr>
          <w:rFonts w:ascii="Arial" w:hAnsi="Arial" w:cs="Arial"/>
          <w:color w:val="auto"/>
          <w:sz w:val="23"/>
          <w:szCs w:val="23"/>
        </w:rPr>
        <w:t>.</w:t>
      </w:r>
    </w:p>
    <w:p w14:paraId="5A024239" w14:textId="0B92A2EE" w:rsidR="00DD4F8D" w:rsidRPr="00924FEB" w:rsidRDefault="00DD4F8D" w:rsidP="00DD4F8D">
      <w:pPr>
        <w:pStyle w:val="Default"/>
        <w:numPr>
          <w:ilvl w:val="0"/>
          <w:numId w:val="2"/>
        </w:numPr>
        <w:spacing w:before="120" w:after="120"/>
        <w:rPr>
          <w:rFonts w:ascii="Arial" w:hAnsi="Arial" w:cs="Arial"/>
          <w:color w:val="auto"/>
          <w:sz w:val="23"/>
          <w:szCs w:val="23"/>
        </w:rPr>
      </w:pPr>
      <w:r w:rsidRPr="00924FEB">
        <w:rPr>
          <w:rFonts w:ascii="Arial" w:hAnsi="Arial" w:cs="Arial"/>
          <w:color w:val="auto"/>
          <w:sz w:val="23"/>
          <w:szCs w:val="23"/>
        </w:rPr>
        <w:t>4.3 million motels, private hotel and guest house</w:t>
      </w:r>
      <w:r w:rsidR="003E2694" w:rsidRPr="00924FEB">
        <w:rPr>
          <w:rFonts w:ascii="Arial" w:hAnsi="Arial" w:cs="Arial"/>
          <w:color w:val="auto"/>
          <w:sz w:val="23"/>
          <w:szCs w:val="23"/>
        </w:rPr>
        <w:t>s</w:t>
      </w:r>
      <w:r w:rsidRPr="00924FEB">
        <w:rPr>
          <w:rFonts w:ascii="Arial" w:hAnsi="Arial" w:cs="Arial"/>
          <w:color w:val="auto"/>
          <w:sz w:val="23"/>
          <w:szCs w:val="23"/>
        </w:rPr>
        <w:t xml:space="preserve"> in </w:t>
      </w:r>
      <w:r w:rsidR="00924FEB">
        <w:rPr>
          <w:rFonts w:ascii="Arial" w:hAnsi="Arial" w:cs="Arial"/>
          <w:color w:val="auto"/>
          <w:sz w:val="23"/>
          <w:szCs w:val="23"/>
        </w:rPr>
        <w:t>2023-24</w:t>
      </w:r>
      <w:r w:rsidRPr="00924FEB">
        <w:rPr>
          <w:rFonts w:ascii="Arial" w:hAnsi="Arial" w:cs="Arial"/>
          <w:color w:val="auto"/>
          <w:sz w:val="23"/>
          <w:szCs w:val="23"/>
        </w:rPr>
        <w:t xml:space="preserve">, </w:t>
      </w:r>
      <w:r w:rsidR="00910835">
        <w:rPr>
          <w:rFonts w:ascii="Arial" w:hAnsi="Arial" w:cs="Arial"/>
          <w:color w:val="auto"/>
          <w:sz w:val="23"/>
          <w:szCs w:val="23"/>
        </w:rPr>
        <w:t>up</w:t>
      </w:r>
      <w:r w:rsidRPr="00924FEB">
        <w:rPr>
          <w:rFonts w:ascii="Arial" w:hAnsi="Arial" w:cs="Arial"/>
          <w:color w:val="auto"/>
          <w:sz w:val="23"/>
          <w:szCs w:val="23"/>
        </w:rPr>
        <w:t xml:space="preserve"> </w:t>
      </w:r>
      <w:r w:rsidR="00910835">
        <w:rPr>
          <w:rFonts w:ascii="Arial" w:hAnsi="Arial" w:cs="Arial"/>
          <w:color w:val="auto"/>
          <w:sz w:val="23"/>
          <w:szCs w:val="23"/>
        </w:rPr>
        <w:t>1.2</w:t>
      </w:r>
      <w:r w:rsidRPr="00924FEB">
        <w:rPr>
          <w:rFonts w:ascii="Arial" w:hAnsi="Arial" w:cs="Arial"/>
          <w:color w:val="auto"/>
          <w:sz w:val="23"/>
          <w:szCs w:val="23"/>
        </w:rPr>
        <w:t xml:space="preserve">% compared to </w:t>
      </w:r>
      <w:r w:rsidR="00924FEB" w:rsidRPr="00924FEB">
        <w:rPr>
          <w:rFonts w:ascii="Arial" w:hAnsi="Arial" w:cs="Arial"/>
          <w:color w:val="auto"/>
          <w:sz w:val="23"/>
          <w:szCs w:val="23"/>
        </w:rPr>
        <w:t>202</w:t>
      </w:r>
      <w:r w:rsidR="00924FEB">
        <w:rPr>
          <w:rFonts w:ascii="Arial" w:hAnsi="Arial" w:cs="Arial"/>
          <w:color w:val="auto"/>
          <w:sz w:val="23"/>
          <w:szCs w:val="23"/>
        </w:rPr>
        <w:t>2-23</w:t>
      </w:r>
      <w:r w:rsidRPr="00924FEB">
        <w:rPr>
          <w:rFonts w:ascii="Arial" w:hAnsi="Arial" w:cs="Arial"/>
          <w:color w:val="auto"/>
          <w:sz w:val="23"/>
          <w:szCs w:val="23"/>
        </w:rPr>
        <w:t>.</w:t>
      </w:r>
    </w:p>
    <w:p w14:paraId="21997F02" w14:textId="67CF2B2A" w:rsidR="00DD4F8D" w:rsidRPr="00924FEB" w:rsidRDefault="00910835" w:rsidP="00DD4F8D">
      <w:pPr>
        <w:pStyle w:val="Default"/>
        <w:numPr>
          <w:ilvl w:val="0"/>
          <w:numId w:val="2"/>
        </w:numPr>
        <w:spacing w:before="120" w:after="120"/>
        <w:rPr>
          <w:rFonts w:ascii="Arial" w:hAnsi="Arial" w:cs="Arial"/>
          <w:color w:val="auto"/>
          <w:sz w:val="23"/>
          <w:szCs w:val="23"/>
        </w:rPr>
      </w:pPr>
      <w:r>
        <w:rPr>
          <w:rFonts w:ascii="Arial" w:hAnsi="Arial" w:cs="Arial"/>
          <w:color w:val="auto"/>
          <w:sz w:val="23"/>
          <w:szCs w:val="23"/>
        </w:rPr>
        <w:t>1.1 million</w:t>
      </w:r>
      <w:r w:rsidR="00DD4F8D" w:rsidRPr="00924FEB">
        <w:rPr>
          <w:rFonts w:ascii="Arial" w:hAnsi="Arial" w:cs="Arial"/>
          <w:color w:val="auto"/>
          <w:sz w:val="23"/>
          <w:szCs w:val="23"/>
        </w:rPr>
        <w:t xml:space="preserve"> holiday parks in </w:t>
      </w:r>
      <w:r w:rsidR="00924FEB">
        <w:rPr>
          <w:rFonts w:ascii="Arial" w:hAnsi="Arial" w:cs="Arial"/>
          <w:color w:val="auto"/>
          <w:sz w:val="23"/>
          <w:szCs w:val="23"/>
        </w:rPr>
        <w:t>2023-24</w:t>
      </w:r>
      <w:r w:rsidR="00DD4F8D" w:rsidRPr="00924FEB">
        <w:rPr>
          <w:rFonts w:ascii="Arial" w:hAnsi="Arial" w:cs="Arial"/>
          <w:color w:val="auto"/>
          <w:sz w:val="23"/>
          <w:szCs w:val="23"/>
        </w:rPr>
        <w:t>, up by 3.</w:t>
      </w:r>
      <w:r>
        <w:rPr>
          <w:rFonts w:ascii="Arial" w:hAnsi="Arial" w:cs="Arial"/>
          <w:color w:val="auto"/>
          <w:sz w:val="23"/>
          <w:szCs w:val="23"/>
        </w:rPr>
        <w:t>2</w:t>
      </w:r>
      <w:r w:rsidR="00DD4F8D" w:rsidRPr="00924FEB">
        <w:rPr>
          <w:rFonts w:ascii="Arial" w:hAnsi="Arial" w:cs="Arial"/>
          <w:color w:val="auto"/>
          <w:sz w:val="23"/>
          <w:szCs w:val="23"/>
        </w:rPr>
        <w:t xml:space="preserve">% compared to </w:t>
      </w:r>
      <w:r w:rsidR="00924FEB" w:rsidRPr="00924FEB">
        <w:rPr>
          <w:rFonts w:ascii="Arial" w:hAnsi="Arial" w:cs="Arial"/>
          <w:color w:val="auto"/>
          <w:sz w:val="23"/>
          <w:szCs w:val="23"/>
        </w:rPr>
        <w:t>202</w:t>
      </w:r>
      <w:r w:rsidR="00924FEB">
        <w:rPr>
          <w:rFonts w:ascii="Arial" w:hAnsi="Arial" w:cs="Arial"/>
          <w:color w:val="auto"/>
          <w:sz w:val="23"/>
          <w:szCs w:val="23"/>
        </w:rPr>
        <w:t>2-23</w:t>
      </w:r>
      <w:r w:rsidR="00DD4F8D" w:rsidRPr="00924FEB">
        <w:rPr>
          <w:rFonts w:ascii="Arial" w:hAnsi="Arial" w:cs="Arial"/>
          <w:color w:val="auto"/>
          <w:sz w:val="23"/>
          <w:szCs w:val="23"/>
        </w:rPr>
        <w:t>.</w:t>
      </w:r>
    </w:p>
    <w:p w14:paraId="2A3F0412" w14:textId="1194575B" w:rsidR="00A3323E" w:rsidRPr="00924FEB" w:rsidRDefault="00910835" w:rsidP="00A3323E">
      <w:pPr>
        <w:pStyle w:val="Heading1"/>
        <w:rPr>
          <w:rFonts w:ascii="Arial" w:hAnsi="Arial" w:cs="Arial"/>
          <w:color w:val="002060"/>
        </w:rPr>
      </w:pPr>
      <w:bookmarkStart w:id="31" w:name="_Toc180499433"/>
      <w:r>
        <w:rPr>
          <w:rFonts w:ascii="Arial" w:hAnsi="Arial" w:cs="Arial"/>
          <w:color w:val="002060"/>
        </w:rPr>
        <w:t xml:space="preserve">7.0 </w:t>
      </w:r>
      <w:r w:rsidR="00A3323E" w:rsidRPr="00924FEB">
        <w:rPr>
          <w:rFonts w:ascii="Arial" w:hAnsi="Arial" w:cs="Arial"/>
          <w:color w:val="002060"/>
        </w:rPr>
        <w:t>Accommodation demand</w:t>
      </w:r>
      <w:r w:rsidR="00527915" w:rsidRPr="00924FEB">
        <w:rPr>
          <w:rFonts w:ascii="Arial" w:hAnsi="Arial" w:cs="Arial"/>
          <w:color w:val="002060"/>
        </w:rPr>
        <w:t xml:space="preserve"> and supply</w:t>
      </w:r>
      <w:bookmarkEnd w:id="31"/>
    </w:p>
    <w:p w14:paraId="171E66F6" w14:textId="77777777" w:rsidR="00910835" w:rsidRPr="00910835" w:rsidRDefault="00910835" w:rsidP="00910835">
      <w:pPr>
        <w:rPr>
          <w:sz w:val="4"/>
          <w:szCs w:val="4"/>
        </w:rPr>
      </w:pPr>
    </w:p>
    <w:p w14:paraId="6E55EE37" w14:textId="51C0E373" w:rsidR="007913B9" w:rsidRPr="007913B9" w:rsidRDefault="007913B9" w:rsidP="007913B9">
      <w:pPr>
        <w:pStyle w:val="NormalWeb"/>
        <w:rPr>
          <w:rFonts w:ascii="Arial" w:eastAsiaTheme="minorEastAsia" w:hAnsi="Arial" w:cs="Arial"/>
          <w:sz w:val="23"/>
          <w:szCs w:val="23"/>
          <w:lang w:eastAsia="en-US"/>
        </w:rPr>
      </w:pPr>
      <w:r w:rsidRPr="007913B9">
        <w:rPr>
          <w:rFonts w:ascii="Arial" w:eastAsiaTheme="minorEastAsia" w:hAnsi="Arial" w:cs="Arial"/>
          <w:sz w:val="23"/>
          <w:szCs w:val="23"/>
          <w:lang w:eastAsia="en-US"/>
        </w:rPr>
        <w:t>Accommodation demand strengthened</w:t>
      </w:r>
      <w:r w:rsidR="006E0B2A">
        <w:rPr>
          <w:rFonts w:ascii="Arial" w:eastAsiaTheme="minorEastAsia" w:hAnsi="Arial" w:cs="Arial"/>
          <w:sz w:val="23"/>
          <w:szCs w:val="23"/>
          <w:lang w:eastAsia="en-US"/>
        </w:rPr>
        <w:t>.</w:t>
      </w:r>
    </w:p>
    <w:p w14:paraId="7B88DFE9" w14:textId="4C378BC7" w:rsidR="00264A4D" w:rsidRPr="00264A4D" w:rsidRDefault="00264A4D" w:rsidP="00264A4D">
      <w:pPr>
        <w:pStyle w:val="Default"/>
        <w:numPr>
          <w:ilvl w:val="0"/>
          <w:numId w:val="2"/>
        </w:numPr>
        <w:spacing w:before="120" w:after="120"/>
        <w:rPr>
          <w:rFonts w:ascii="Arial" w:hAnsi="Arial" w:cs="Arial"/>
          <w:color w:val="auto"/>
          <w:sz w:val="23"/>
          <w:szCs w:val="23"/>
        </w:rPr>
      </w:pPr>
      <w:r w:rsidRPr="00264A4D">
        <w:rPr>
          <w:rFonts w:ascii="Arial" w:hAnsi="Arial" w:cs="Arial"/>
          <w:color w:val="auto"/>
          <w:sz w:val="23"/>
          <w:szCs w:val="23"/>
        </w:rPr>
        <w:t>Accommodation occupancy in Victoria has remained solid in 2023-24, boosted by key events such as the Australian Formula One Grand Prix in March. </w:t>
      </w:r>
    </w:p>
    <w:p w14:paraId="4D02EB86" w14:textId="242EA1E2" w:rsidR="00264A4D" w:rsidRPr="00264A4D" w:rsidRDefault="00264A4D" w:rsidP="00264A4D">
      <w:pPr>
        <w:pStyle w:val="Default"/>
        <w:numPr>
          <w:ilvl w:val="0"/>
          <w:numId w:val="2"/>
        </w:numPr>
        <w:spacing w:before="120" w:after="120"/>
        <w:rPr>
          <w:rFonts w:ascii="Arial" w:hAnsi="Arial" w:cs="Arial"/>
          <w:color w:val="auto"/>
          <w:sz w:val="23"/>
          <w:szCs w:val="23"/>
        </w:rPr>
      </w:pPr>
      <w:r w:rsidRPr="00264A4D">
        <w:rPr>
          <w:rFonts w:ascii="Arial" w:hAnsi="Arial" w:cs="Arial"/>
          <w:color w:val="auto"/>
          <w:sz w:val="23"/>
          <w:szCs w:val="23"/>
        </w:rPr>
        <w:t>Overall accommodation occupancy in Victoria in 2023-24 averaged a rate of 68.3%</w:t>
      </w:r>
      <w:r w:rsidR="002454E5">
        <w:rPr>
          <w:rFonts w:ascii="Arial" w:hAnsi="Arial" w:cs="Arial"/>
          <w:color w:val="auto"/>
          <w:sz w:val="23"/>
          <w:szCs w:val="23"/>
        </w:rPr>
        <w:t>,</w:t>
      </w:r>
      <w:r w:rsidRPr="00264A4D">
        <w:rPr>
          <w:rFonts w:ascii="Arial" w:hAnsi="Arial" w:cs="Arial"/>
          <w:color w:val="auto"/>
          <w:sz w:val="23"/>
          <w:szCs w:val="23"/>
        </w:rPr>
        <w:t xml:space="preserve"> reflecting good momentum in demand.</w:t>
      </w:r>
    </w:p>
    <w:p w14:paraId="04125384" w14:textId="77777777" w:rsidR="00264A4D" w:rsidRPr="00264A4D" w:rsidRDefault="00264A4D" w:rsidP="00264A4D">
      <w:pPr>
        <w:pStyle w:val="Default"/>
        <w:numPr>
          <w:ilvl w:val="0"/>
          <w:numId w:val="2"/>
        </w:numPr>
        <w:spacing w:before="120" w:after="120"/>
        <w:rPr>
          <w:rFonts w:ascii="Arial" w:hAnsi="Arial" w:cs="Arial"/>
          <w:color w:val="auto"/>
          <w:sz w:val="23"/>
          <w:szCs w:val="23"/>
        </w:rPr>
      </w:pPr>
      <w:r w:rsidRPr="00264A4D">
        <w:rPr>
          <w:rFonts w:ascii="Arial" w:hAnsi="Arial" w:cs="Arial"/>
          <w:color w:val="auto"/>
          <w:sz w:val="23"/>
          <w:szCs w:val="23"/>
        </w:rPr>
        <w:t>Supply in Victoria has grown by 4.3% year-on-year to 23.3 million rooms available in 2023-24.</w:t>
      </w:r>
    </w:p>
    <w:p w14:paraId="6DFCE2D8" w14:textId="77336703" w:rsidR="001337E2" w:rsidRPr="00924FEB" w:rsidRDefault="005914BF" w:rsidP="001337E2">
      <w:pPr>
        <w:pStyle w:val="Heading1"/>
        <w:rPr>
          <w:rFonts w:ascii="Arial" w:hAnsi="Arial" w:cs="Arial"/>
          <w:color w:val="002060"/>
        </w:rPr>
      </w:pPr>
      <w:bookmarkStart w:id="32" w:name="_Toc180499434"/>
      <w:r w:rsidRPr="001337E2">
        <w:rPr>
          <w:rStyle w:val="Heading2Char"/>
          <w:rFonts w:ascii="Arial" w:hAnsi="Arial" w:cs="Arial"/>
          <w:color w:val="002060"/>
        </w:rPr>
        <w:lastRenderedPageBreak/>
        <w:t xml:space="preserve">Chart 1. </w:t>
      </w:r>
      <w:r w:rsidR="00252B3B" w:rsidRPr="001337E2">
        <w:rPr>
          <w:rStyle w:val="Heading2Char"/>
          <w:rFonts w:ascii="Arial" w:hAnsi="Arial" w:cs="Arial"/>
          <w:color w:val="002060"/>
        </w:rPr>
        <w:t xml:space="preserve">Victorian </w:t>
      </w:r>
      <w:r w:rsidR="00384250" w:rsidRPr="001337E2">
        <w:rPr>
          <w:rStyle w:val="Heading2Char"/>
          <w:rFonts w:ascii="Arial" w:hAnsi="Arial" w:cs="Arial"/>
          <w:color w:val="002060"/>
        </w:rPr>
        <w:t>a</w:t>
      </w:r>
      <w:r w:rsidR="00252B3B" w:rsidRPr="001337E2">
        <w:rPr>
          <w:rStyle w:val="Heading2Char"/>
          <w:rFonts w:ascii="Arial" w:hAnsi="Arial" w:cs="Arial"/>
          <w:color w:val="002060"/>
        </w:rPr>
        <w:t xml:space="preserve">ccommodation </w:t>
      </w:r>
      <w:r w:rsidR="00384250" w:rsidRPr="001337E2">
        <w:rPr>
          <w:rStyle w:val="Heading2Char"/>
          <w:rFonts w:ascii="Arial" w:hAnsi="Arial" w:cs="Arial"/>
          <w:color w:val="002060"/>
        </w:rPr>
        <w:t>e</w:t>
      </w:r>
      <w:r w:rsidR="00252B3B" w:rsidRPr="001337E2">
        <w:rPr>
          <w:rStyle w:val="Heading2Char"/>
          <w:rFonts w:ascii="Arial" w:hAnsi="Arial" w:cs="Arial"/>
          <w:color w:val="002060"/>
        </w:rPr>
        <w:t>stablishments 10+ Rooms</w:t>
      </w:r>
      <w:r w:rsidR="00384250" w:rsidRPr="001337E2">
        <w:rPr>
          <w:rStyle w:val="Heading2Char"/>
          <w:rFonts w:ascii="Arial" w:hAnsi="Arial" w:cs="Arial"/>
          <w:color w:val="002060"/>
        </w:rPr>
        <w:t xml:space="preserve">. </w:t>
      </w:r>
      <w:r w:rsidR="00252B3B" w:rsidRPr="001337E2">
        <w:rPr>
          <w:rStyle w:val="Heading2Char"/>
          <w:rFonts w:ascii="Arial" w:hAnsi="Arial" w:cs="Arial"/>
          <w:color w:val="002060"/>
        </w:rPr>
        <w:t xml:space="preserve">Quarterly </w:t>
      </w:r>
      <w:r w:rsidR="00384250" w:rsidRPr="001337E2">
        <w:rPr>
          <w:rStyle w:val="Heading2Char"/>
          <w:rFonts w:ascii="Arial" w:hAnsi="Arial" w:cs="Arial"/>
          <w:color w:val="002060"/>
        </w:rPr>
        <w:t>s</w:t>
      </w:r>
      <w:r w:rsidR="00252B3B" w:rsidRPr="001337E2">
        <w:rPr>
          <w:rStyle w:val="Heading2Char"/>
          <w:rFonts w:ascii="Arial" w:hAnsi="Arial" w:cs="Arial"/>
          <w:color w:val="002060"/>
        </w:rPr>
        <w:t xml:space="preserve">upply, </w:t>
      </w:r>
      <w:r w:rsidR="00384250" w:rsidRPr="001337E2">
        <w:rPr>
          <w:rStyle w:val="Heading2Char"/>
          <w:rFonts w:ascii="Arial" w:hAnsi="Arial" w:cs="Arial"/>
          <w:color w:val="002060"/>
        </w:rPr>
        <w:t>d</w:t>
      </w:r>
      <w:r w:rsidR="00252B3B" w:rsidRPr="001337E2">
        <w:rPr>
          <w:rStyle w:val="Heading2Char"/>
          <w:rFonts w:ascii="Arial" w:hAnsi="Arial" w:cs="Arial"/>
          <w:color w:val="002060"/>
        </w:rPr>
        <w:t xml:space="preserve">emand and </w:t>
      </w:r>
      <w:r w:rsidR="00384250" w:rsidRPr="001337E2">
        <w:rPr>
          <w:rStyle w:val="Heading2Char"/>
          <w:rFonts w:ascii="Arial" w:hAnsi="Arial" w:cs="Arial"/>
          <w:color w:val="002060"/>
        </w:rPr>
        <w:t>o</w:t>
      </w:r>
      <w:r w:rsidR="00252B3B" w:rsidRPr="001337E2">
        <w:rPr>
          <w:rStyle w:val="Heading2Char"/>
          <w:rFonts w:ascii="Arial" w:hAnsi="Arial" w:cs="Arial"/>
          <w:color w:val="002060"/>
        </w:rPr>
        <w:t xml:space="preserve">ccupancy </w:t>
      </w:r>
      <w:r w:rsidR="00384250" w:rsidRPr="001337E2">
        <w:rPr>
          <w:rStyle w:val="Heading2Char"/>
          <w:rFonts w:ascii="Arial" w:hAnsi="Arial" w:cs="Arial"/>
          <w:color w:val="002060"/>
        </w:rPr>
        <w:t>r</w:t>
      </w:r>
      <w:r w:rsidR="00252B3B" w:rsidRPr="001337E2">
        <w:rPr>
          <w:rStyle w:val="Heading2Char"/>
          <w:rFonts w:ascii="Arial" w:hAnsi="Arial" w:cs="Arial"/>
          <w:color w:val="002060"/>
        </w:rPr>
        <w:t>ates</w:t>
      </w:r>
      <w:r w:rsidR="00AB4121" w:rsidRPr="001337E2">
        <w:rPr>
          <w:rStyle w:val="Heading2Char"/>
          <w:rFonts w:ascii="Arial" w:hAnsi="Arial" w:cs="Arial"/>
          <w:color w:val="002060"/>
          <w:sz w:val="24"/>
          <w:szCs w:val="24"/>
        </w:rPr>
        <w:t>.</w:t>
      </w:r>
      <w:r w:rsidR="00872341">
        <w:rPr>
          <w:rFonts w:ascii="Arial" w:hAnsi="Arial" w:cs="Arial"/>
          <w:noProof/>
          <w:color w:val="000000"/>
          <w:sz w:val="24"/>
          <w:szCs w:val="24"/>
        </w:rPr>
        <w:drawing>
          <wp:inline distT="0" distB="0" distL="0" distR="0" wp14:anchorId="175A8407" wp14:editId="0843915C">
            <wp:extent cx="5314950" cy="3124835"/>
            <wp:effectExtent l="0" t="0" r="0" b="0"/>
            <wp:docPr id="1000694348" name="Picture 1" descr="A stacked bar chart showing supply and demand for Victorian accommodation from June quarter 2019 quarter to June quarter 2024. A line graph shows changes in occupancy rates for accommodation in this period. Occupancy rates have fluctuated in this time and declined sharply during the COVID-19 period. However, have strengthened in 2023-24, peaking in key periods such as in the March quarter during the Australian Formula One Grand P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4348" name="Picture 1" descr="A stacked bar chart showing supply and demand for Victorian accommodation from June quarter 2019 quarter to June quarter 2024. A line graph shows changes in occupancy rates for accommodation in this period. Occupancy rates have fluctuated in this time and declined sharply during the COVID-19 period. However, have strengthened in 2023-24, peaking in key periods such as in the March quarter during the Australian Formula One Grand Pri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315154" cy="3124955"/>
                    </a:xfrm>
                    <a:prstGeom prst="rect">
                      <a:avLst/>
                    </a:prstGeom>
                    <a:noFill/>
                  </pic:spPr>
                </pic:pic>
              </a:graphicData>
            </a:graphic>
          </wp:inline>
        </w:drawing>
      </w:r>
      <w:bookmarkEnd w:id="32"/>
      <w:r>
        <w:rPr>
          <w:rFonts w:ascii="Arial" w:hAnsi="Arial" w:cs="Arial"/>
          <w:color w:val="002060"/>
        </w:rPr>
        <w:t xml:space="preserve">          </w:t>
      </w:r>
    </w:p>
    <w:p w14:paraId="3BFD121C" w14:textId="7D887C18" w:rsidR="00254649" w:rsidRPr="001337E2" w:rsidRDefault="001337E2" w:rsidP="001337E2">
      <w:pPr>
        <w:pStyle w:val="Heading1"/>
        <w:rPr>
          <w:rFonts w:ascii="Arial" w:hAnsi="Arial" w:cs="Arial"/>
          <w:color w:val="002060"/>
        </w:rPr>
      </w:pPr>
      <w:bookmarkStart w:id="33" w:name="_Toc180499435"/>
      <w:r w:rsidRPr="001337E2">
        <w:rPr>
          <w:rFonts w:ascii="Arial" w:hAnsi="Arial" w:cs="Arial"/>
          <w:color w:val="002060"/>
        </w:rPr>
        <w:t>8.0 Occupancy rates</w:t>
      </w:r>
      <w:bookmarkEnd w:id="33"/>
    </w:p>
    <w:p w14:paraId="3305406A" w14:textId="77777777" w:rsidR="001337E2" w:rsidRPr="001337E2" w:rsidRDefault="001337E2" w:rsidP="001337E2">
      <w:pPr>
        <w:rPr>
          <w:sz w:val="4"/>
          <w:szCs w:val="4"/>
        </w:rPr>
      </w:pPr>
    </w:p>
    <w:p w14:paraId="538F01E3" w14:textId="72661858" w:rsidR="007913B9" w:rsidRPr="007913B9" w:rsidRDefault="007913B9" w:rsidP="007913B9">
      <w:pPr>
        <w:pStyle w:val="Default"/>
        <w:spacing w:before="120" w:after="120"/>
        <w:rPr>
          <w:rFonts w:ascii="Arial" w:hAnsi="Arial" w:cs="Arial"/>
          <w:sz w:val="23"/>
          <w:szCs w:val="23"/>
        </w:rPr>
      </w:pPr>
      <w:r w:rsidRPr="007913B9">
        <w:rPr>
          <w:rFonts w:ascii="Arial" w:hAnsi="Arial" w:cs="Arial"/>
          <w:sz w:val="23"/>
          <w:szCs w:val="23"/>
        </w:rPr>
        <w:t xml:space="preserve">Solid performances </w:t>
      </w:r>
      <w:r w:rsidR="00DD3060">
        <w:rPr>
          <w:rFonts w:ascii="Arial" w:hAnsi="Arial" w:cs="Arial"/>
          <w:sz w:val="23"/>
          <w:szCs w:val="23"/>
        </w:rPr>
        <w:t xml:space="preserve">were </w:t>
      </w:r>
      <w:r w:rsidRPr="007913B9">
        <w:rPr>
          <w:rFonts w:ascii="Arial" w:hAnsi="Arial" w:cs="Arial"/>
          <w:sz w:val="23"/>
          <w:szCs w:val="23"/>
        </w:rPr>
        <w:t>noted across accommodation categories</w:t>
      </w:r>
      <w:r w:rsidR="006E0B2A">
        <w:rPr>
          <w:rFonts w:ascii="Arial" w:hAnsi="Arial" w:cs="Arial"/>
          <w:sz w:val="23"/>
          <w:szCs w:val="23"/>
        </w:rPr>
        <w:t>.</w:t>
      </w:r>
    </w:p>
    <w:p w14:paraId="71B852C5" w14:textId="5C49181C" w:rsidR="00A04549" w:rsidRPr="00A04549" w:rsidRDefault="00A04549" w:rsidP="00A04549">
      <w:pPr>
        <w:pStyle w:val="Default"/>
        <w:numPr>
          <w:ilvl w:val="0"/>
          <w:numId w:val="2"/>
        </w:numPr>
        <w:spacing w:before="120" w:after="120"/>
        <w:rPr>
          <w:rFonts w:ascii="Arial" w:hAnsi="Arial" w:cs="Arial"/>
          <w:color w:val="auto"/>
          <w:sz w:val="23"/>
          <w:szCs w:val="23"/>
        </w:rPr>
      </w:pPr>
      <w:r w:rsidRPr="00A04549">
        <w:rPr>
          <w:rFonts w:ascii="Arial" w:hAnsi="Arial" w:cs="Arial"/>
          <w:color w:val="auto"/>
          <w:sz w:val="23"/>
          <w:szCs w:val="23"/>
        </w:rPr>
        <w:t>Hotels and resorts (76.4%) noted the highest demand in March 2024 boosted by major events such as the Australian Formula One Grand Prix.</w:t>
      </w:r>
    </w:p>
    <w:p w14:paraId="474C4AD3" w14:textId="77777777" w:rsidR="00A04549" w:rsidRPr="00A04549" w:rsidRDefault="00A04549" w:rsidP="00A04549">
      <w:pPr>
        <w:pStyle w:val="Default"/>
        <w:numPr>
          <w:ilvl w:val="0"/>
          <w:numId w:val="2"/>
        </w:numPr>
        <w:spacing w:before="120" w:after="120"/>
        <w:rPr>
          <w:rFonts w:ascii="Arial" w:hAnsi="Arial" w:cs="Arial"/>
          <w:color w:val="auto"/>
          <w:sz w:val="23"/>
          <w:szCs w:val="23"/>
        </w:rPr>
      </w:pPr>
      <w:r w:rsidRPr="00A04549">
        <w:rPr>
          <w:rFonts w:ascii="Arial" w:hAnsi="Arial" w:cs="Arial"/>
          <w:color w:val="auto"/>
          <w:sz w:val="23"/>
          <w:szCs w:val="23"/>
        </w:rPr>
        <w:t>In February, peak occupancy rates were recorded for serviced apartments (76.7%) and motels/private hotels/guesthouses (71.6%), largely driven by the heightened demand generated by Taylor Swift's concerts.</w:t>
      </w:r>
    </w:p>
    <w:p w14:paraId="54DF52D9" w14:textId="4CCEED99" w:rsidR="00A04549" w:rsidRPr="00A04549" w:rsidRDefault="00A04549" w:rsidP="00A04549">
      <w:pPr>
        <w:pStyle w:val="Default"/>
        <w:numPr>
          <w:ilvl w:val="0"/>
          <w:numId w:val="2"/>
        </w:numPr>
        <w:spacing w:before="120" w:after="120"/>
        <w:rPr>
          <w:rFonts w:ascii="Arial" w:hAnsi="Arial" w:cs="Arial"/>
          <w:color w:val="auto"/>
          <w:sz w:val="23"/>
          <w:szCs w:val="23"/>
        </w:rPr>
      </w:pPr>
      <w:r w:rsidRPr="00A04549">
        <w:rPr>
          <w:rFonts w:ascii="Arial" w:hAnsi="Arial" w:cs="Arial"/>
          <w:color w:val="auto"/>
          <w:sz w:val="23"/>
          <w:szCs w:val="23"/>
        </w:rPr>
        <w:t xml:space="preserve">Occupancy rates for all accommodation types have softened slightly in May/June 2024 reflecting seasonal trends during the winter period, as well as broader weakening in </w:t>
      </w:r>
      <w:r w:rsidR="006E0B2A">
        <w:rPr>
          <w:rFonts w:ascii="Arial" w:hAnsi="Arial" w:cs="Arial"/>
          <w:color w:val="auto"/>
          <w:sz w:val="23"/>
          <w:szCs w:val="23"/>
        </w:rPr>
        <w:t xml:space="preserve">travel </w:t>
      </w:r>
      <w:r w:rsidRPr="00A04549">
        <w:rPr>
          <w:rFonts w:ascii="Arial" w:hAnsi="Arial" w:cs="Arial"/>
          <w:color w:val="auto"/>
          <w:sz w:val="23"/>
          <w:szCs w:val="23"/>
        </w:rPr>
        <w:t>demand as cost-of-living pressures mount.</w:t>
      </w:r>
    </w:p>
    <w:p w14:paraId="7D1563CA" w14:textId="77777777" w:rsidR="003835A4" w:rsidRPr="00A04549" w:rsidRDefault="003835A4" w:rsidP="00A04549">
      <w:pPr>
        <w:pStyle w:val="ListParagraph"/>
        <w:numPr>
          <w:ilvl w:val="0"/>
          <w:numId w:val="18"/>
        </w:numPr>
        <w:rPr>
          <w:sz w:val="4"/>
          <w:szCs w:val="4"/>
        </w:rPr>
      </w:pPr>
    </w:p>
    <w:p w14:paraId="40A34B7C" w14:textId="2901F361" w:rsidR="00AE1AE4" w:rsidRPr="00924FEB" w:rsidRDefault="005914BF" w:rsidP="00D312CF">
      <w:pPr>
        <w:pStyle w:val="Heading2"/>
        <w:rPr>
          <w:rFonts w:ascii="Arial" w:hAnsi="Arial" w:cs="Arial"/>
          <w:color w:val="002060"/>
        </w:rPr>
      </w:pPr>
      <w:bookmarkStart w:id="34" w:name="_Toc180499436"/>
      <w:r>
        <w:rPr>
          <w:rFonts w:ascii="Arial" w:hAnsi="Arial" w:cs="Arial"/>
          <w:color w:val="002060"/>
        </w:rPr>
        <w:lastRenderedPageBreak/>
        <w:t xml:space="preserve">Chart 2. </w:t>
      </w:r>
      <w:r w:rsidR="00AE1AE4" w:rsidRPr="00924FEB">
        <w:rPr>
          <w:rFonts w:ascii="Arial" w:hAnsi="Arial" w:cs="Arial"/>
          <w:color w:val="002060"/>
        </w:rPr>
        <w:t>Victorian accommodation establishments 10+ rooms monthly occupancy rates (%) from July 2019 to June 202</w:t>
      </w:r>
      <w:r w:rsidR="00924FEB">
        <w:rPr>
          <w:rFonts w:ascii="Arial" w:hAnsi="Arial" w:cs="Arial"/>
          <w:color w:val="002060"/>
        </w:rPr>
        <w:t>4</w:t>
      </w:r>
      <w:r w:rsidR="00AE1AE4" w:rsidRPr="00924FEB">
        <w:rPr>
          <w:rFonts w:ascii="Arial" w:hAnsi="Arial" w:cs="Arial"/>
          <w:color w:val="002060"/>
        </w:rPr>
        <w:t>.</w:t>
      </w:r>
      <w:bookmarkEnd w:id="34"/>
    </w:p>
    <w:p w14:paraId="0EF77444" w14:textId="275CDF1C" w:rsidR="00254649" w:rsidRPr="00924FEB" w:rsidRDefault="006E281D" w:rsidP="00254649">
      <w:pPr>
        <w:rPr>
          <w:rFonts w:ascii="Arial" w:hAnsi="Arial" w:cs="Arial"/>
        </w:rPr>
      </w:pPr>
      <w:r>
        <w:rPr>
          <w:rFonts w:ascii="Arial" w:hAnsi="Arial" w:cs="Arial"/>
          <w:noProof/>
        </w:rPr>
        <w:drawing>
          <wp:inline distT="0" distB="0" distL="0" distR="0" wp14:anchorId="463E9F3A" wp14:editId="7CE5B167">
            <wp:extent cx="5029200" cy="3291556"/>
            <wp:effectExtent l="0" t="0" r="0" b="4445"/>
            <wp:docPr id="1132495153" name="Picture 3" descr="A line chart showing occupancy rates for Victorian accommodation from the month of June 2019 to June 2024. Three lines chart the changes in occupancy rates in hotels and resorts, motels, private hotels and guesthouses, as well as serviced apartments. Occupancy rates have fluctuated in this time and declined during the COVID-19 period although have since improved. Hotels and resorts had an occupancy rate of 71.8% in June 2019 which was 63.5% in June 2024.  Motels, private hotels and guesthouses had an occupancy rate of 68.8% in June 2019 which was 63.6% in June 2024.  Serviced apartments had an occupancy rate of 59.4% in June 2019 which was 60.4% in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95153" name="Picture 3" descr="A line chart showing occupancy rates for Victorian accommodation from the month of June 2019 to June 2024. Three lines chart the changes in occupancy rates in hotels and resorts, motels, private hotels and guesthouses, as well as serviced apartments. Occupancy rates have fluctuated in this time and declined during the COVID-19 period although have since improved. Hotels and resorts had an occupancy rate of 71.8% in June 2019 which was 63.5% in June 2024.  Motels, private hotels and guesthouses had an occupancy rate of 68.8% in June 2019 which was 63.6% in June 2024.  Serviced apartments had an occupancy rate of 59.4% in June 2019 which was 60.4% in June 2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3235" cy="3300742"/>
                    </a:xfrm>
                    <a:prstGeom prst="rect">
                      <a:avLst/>
                    </a:prstGeom>
                    <a:noFill/>
                  </pic:spPr>
                </pic:pic>
              </a:graphicData>
            </a:graphic>
          </wp:inline>
        </w:drawing>
      </w:r>
    </w:p>
    <w:p w14:paraId="6ED6508D" w14:textId="25D48184" w:rsidR="002F0A29" w:rsidRPr="00924FEB" w:rsidRDefault="005914BF" w:rsidP="002F5DF5">
      <w:pPr>
        <w:pStyle w:val="Heading1"/>
        <w:rPr>
          <w:rFonts w:ascii="Arial" w:hAnsi="Arial" w:cs="Arial"/>
          <w:color w:val="002060"/>
        </w:rPr>
      </w:pPr>
      <w:bookmarkStart w:id="35" w:name="_Toc180499437"/>
      <w:r>
        <w:rPr>
          <w:rFonts w:ascii="Arial" w:hAnsi="Arial" w:cs="Arial"/>
          <w:color w:val="002060"/>
        </w:rPr>
        <w:t xml:space="preserve">9.0 </w:t>
      </w:r>
      <w:r w:rsidR="00503038" w:rsidRPr="00924FEB">
        <w:rPr>
          <w:rFonts w:ascii="Arial" w:hAnsi="Arial" w:cs="Arial"/>
          <w:color w:val="002060"/>
        </w:rPr>
        <w:t>D</w:t>
      </w:r>
      <w:r w:rsidR="002F0A29" w:rsidRPr="00924FEB">
        <w:rPr>
          <w:rFonts w:ascii="Arial" w:hAnsi="Arial" w:cs="Arial"/>
          <w:color w:val="002060"/>
        </w:rPr>
        <w:t>ata notes</w:t>
      </w:r>
      <w:bookmarkEnd w:id="35"/>
      <w:r w:rsidR="002F0A29" w:rsidRPr="00924FEB">
        <w:rPr>
          <w:rFonts w:ascii="Arial" w:hAnsi="Arial" w:cs="Arial"/>
          <w:color w:val="002060"/>
        </w:rPr>
        <w:t xml:space="preserve"> </w:t>
      </w:r>
    </w:p>
    <w:p w14:paraId="50AADBC6" w14:textId="77777777" w:rsidR="00BB2E6B" w:rsidRPr="00BB2E6B" w:rsidRDefault="00BB2E6B" w:rsidP="00BB2E6B">
      <w:pPr>
        <w:rPr>
          <w:sz w:val="4"/>
          <w:szCs w:val="4"/>
        </w:rPr>
      </w:pPr>
    </w:p>
    <w:p w14:paraId="31B94AC0" w14:textId="1D2AF968" w:rsidR="00645CF0" w:rsidRPr="00924FEB" w:rsidRDefault="00645CF0" w:rsidP="00645CF0">
      <w:pPr>
        <w:pStyle w:val="Default"/>
        <w:rPr>
          <w:rFonts w:ascii="Arial" w:hAnsi="Arial" w:cs="Arial"/>
          <w:color w:val="auto"/>
          <w:sz w:val="23"/>
          <w:szCs w:val="23"/>
        </w:rPr>
      </w:pPr>
      <w:r w:rsidRPr="00924FEB">
        <w:rPr>
          <w:rFonts w:ascii="Arial" w:hAnsi="Arial" w:cs="Arial"/>
          <w:color w:val="auto"/>
          <w:sz w:val="23"/>
          <w:szCs w:val="23"/>
        </w:rPr>
        <w:t xml:space="preserve">Source: </w:t>
      </w:r>
      <w:r w:rsidR="00924FEB">
        <w:rPr>
          <w:rFonts w:ascii="Arial" w:hAnsi="Arial" w:cs="Arial"/>
          <w:color w:val="auto"/>
          <w:sz w:val="23"/>
          <w:szCs w:val="23"/>
        </w:rPr>
        <w:t xml:space="preserve">2023-24 </w:t>
      </w:r>
      <w:r w:rsidRPr="00924FEB">
        <w:rPr>
          <w:rFonts w:ascii="Arial" w:hAnsi="Arial" w:cs="Arial"/>
          <w:color w:val="auto"/>
          <w:sz w:val="23"/>
          <w:szCs w:val="23"/>
        </w:rPr>
        <w:t xml:space="preserve">Australian Accommodation Monitor (AAM), STR, released </w:t>
      </w:r>
      <w:r w:rsidR="00411EC0" w:rsidRPr="00924FEB">
        <w:rPr>
          <w:rFonts w:ascii="Arial" w:hAnsi="Arial" w:cs="Arial"/>
          <w:color w:val="auto"/>
          <w:sz w:val="23"/>
          <w:szCs w:val="23"/>
        </w:rPr>
        <w:t xml:space="preserve">in </w:t>
      </w:r>
      <w:r w:rsidRPr="00924FEB">
        <w:rPr>
          <w:rFonts w:ascii="Arial" w:hAnsi="Arial" w:cs="Arial"/>
          <w:color w:val="auto"/>
          <w:sz w:val="23"/>
          <w:szCs w:val="23"/>
        </w:rPr>
        <w:t>October 202</w:t>
      </w:r>
      <w:r w:rsidR="007D338B">
        <w:rPr>
          <w:rFonts w:ascii="Arial" w:hAnsi="Arial" w:cs="Arial"/>
          <w:color w:val="auto"/>
          <w:sz w:val="23"/>
          <w:szCs w:val="23"/>
        </w:rPr>
        <w:t>4</w:t>
      </w:r>
      <w:r w:rsidRPr="00924FEB">
        <w:rPr>
          <w:rFonts w:ascii="Arial" w:hAnsi="Arial" w:cs="Arial"/>
          <w:color w:val="auto"/>
          <w:sz w:val="23"/>
          <w:szCs w:val="23"/>
        </w:rPr>
        <w:t>.</w:t>
      </w:r>
    </w:p>
    <w:p w14:paraId="2C7574ED" w14:textId="02E1C784" w:rsidR="00645CF0" w:rsidRPr="00924FEB" w:rsidRDefault="00645CF0" w:rsidP="00645CF0">
      <w:pPr>
        <w:pStyle w:val="Default"/>
        <w:rPr>
          <w:rFonts w:ascii="Arial" w:hAnsi="Arial" w:cs="Arial"/>
          <w:color w:val="auto"/>
          <w:sz w:val="23"/>
          <w:szCs w:val="23"/>
        </w:rPr>
      </w:pPr>
      <w:r w:rsidRPr="00924FEB">
        <w:rPr>
          <w:rFonts w:ascii="Arial" w:hAnsi="Arial" w:cs="Arial"/>
          <w:color w:val="auto"/>
          <w:sz w:val="23"/>
          <w:szCs w:val="23"/>
        </w:rPr>
        <w:t>The report is available on the</w:t>
      </w:r>
      <w:r w:rsidR="008C59CA" w:rsidRPr="00924FEB">
        <w:rPr>
          <w:rFonts w:ascii="Arial" w:hAnsi="Arial" w:cs="Arial"/>
          <w:color w:val="auto"/>
          <w:sz w:val="23"/>
          <w:szCs w:val="23"/>
        </w:rPr>
        <w:t xml:space="preserve"> </w:t>
      </w:r>
      <w:hyperlink r:id="rId9" w:history="1">
        <w:r w:rsidR="008C59CA" w:rsidRPr="00620804">
          <w:rPr>
            <w:rStyle w:val="Hyperlink"/>
            <w:rFonts w:ascii="Arial" w:hAnsi="Arial" w:cs="Arial"/>
            <w:sz w:val="23"/>
            <w:szCs w:val="23"/>
          </w:rPr>
          <w:t>STR website</w:t>
        </w:r>
      </w:hyperlink>
      <w:r w:rsidR="007D338B">
        <w:rPr>
          <w:rFonts w:ascii="Arial" w:hAnsi="Arial" w:cs="Arial"/>
          <w:color w:val="auto"/>
          <w:sz w:val="23"/>
          <w:szCs w:val="23"/>
        </w:rPr>
        <w:t>.</w:t>
      </w:r>
    </w:p>
    <w:p w14:paraId="21C1E1F2" w14:textId="77777777" w:rsidR="002739FF" w:rsidRPr="00924FEB" w:rsidRDefault="002739FF" w:rsidP="00645CF0">
      <w:pPr>
        <w:pStyle w:val="Default"/>
        <w:rPr>
          <w:rFonts w:ascii="Arial" w:hAnsi="Arial" w:cs="Arial"/>
          <w:color w:val="auto"/>
          <w:sz w:val="23"/>
          <w:szCs w:val="23"/>
        </w:rPr>
      </w:pPr>
    </w:p>
    <w:p w14:paraId="3BE038B3" w14:textId="77777777" w:rsidR="00706551" w:rsidRDefault="00706551" w:rsidP="00645CF0">
      <w:pPr>
        <w:pStyle w:val="Default"/>
        <w:rPr>
          <w:rFonts w:ascii="Arial" w:hAnsi="Arial" w:cs="Arial"/>
          <w:color w:val="auto"/>
          <w:sz w:val="23"/>
          <w:szCs w:val="23"/>
        </w:rPr>
      </w:pPr>
      <w:r w:rsidRPr="00706551">
        <w:rPr>
          <w:rFonts w:ascii="Arial" w:hAnsi="Arial" w:cs="Arial"/>
          <w:color w:val="auto"/>
          <w:sz w:val="23"/>
          <w:szCs w:val="23"/>
        </w:rPr>
        <w:t>The 2023-24 AAM results for Victoria are based on a sample of 443 properties, with 10 or more rooms, out of a census of 1,143 properties (or 43,839 rooms out of a total 64,166 rooms).</w:t>
      </w:r>
    </w:p>
    <w:p w14:paraId="46C715D1" w14:textId="77777777" w:rsidR="00620804" w:rsidRDefault="00620804" w:rsidP="00645CF0">
      <w:pPr>
        <w:pStyle w:val="Default"/>
        <w:rPr>
          <w:rFonts w:ascii="Arial" w:hAnsi="Arial" w:cs="Arial"/>
          <w:color w:val="auto"/>
          <w:sz w:val="23"/>
          <w:szCs w:val="23"/>
        </w:rPr>
      </w:pPr>
    </w:p>
    <w:p w14:paraId="07D6CD8A" w14:textId="1AB2572D" w:rsidR="00411EC0" w:rsidRPr="00924FEB" w:rsidRDefault="00645CF0" w:rsidP="00645CF0">
      <w:pPr>
        <w:pStyle w:val="Default"/>
        <w:rPr>
          <w:rFonts w:ascii="Arial" w:hAnsi="Arial" w:cs="Arial"/>
          <w:color w:val="auto"/>
          <w:sz w:val="23"/>
          <w:szCs w:val="23"/>
        </w:rPr>
      </w:pPr>
      <w:r w:rsidRPr="00924FEB">
        <w:rPr>
          <w:rFonts w:ascii="Arial" w:hAnsi="Arial" w:cs="Arial"/>
          <w:color w:val="auto"/>
          <w:sz w:val="23"/>
          <w:szCs w:val="23"/>
        </w:rPr>
        <w:t>Accommodation establishments included are</w:t>
      </w:r>
      <w:r w:rsidR="00411EC0" w:rsidRPr="00924FEB">
        <w:rPr>
          <w:rFonts w:ascii="Arial" w:hAnsi="Arial" w:cs="Arial"/>
          <w:color w:val="auto"/>
          <w:sz w:val="23"/>
          <w:szCs w:val="23"/>
        </w:rPr>
        <w:t>:</w:t>
      </w:r>
    </w:p>
    <w:p w14:paraId="5059F79E" w14:textId="77777777" w:rsidR="00411EC0" w:rsidRPr="00924FEB" w:rsidRDefault="00645CF0" w:rsidP="00411EC0">
      <w:pPr>
        <w:pStyle w:val="Default"/>
        <w:numPr>
          <w:ilvl w:val="0"/>
          <w:numId w:val="13"/>
        </w:numPr>
        <w:rPr>
          <w:rFonts w:ascii="Arial" w:hAnsi="Arial" w:cs="Arial"/>
          <w:color w:val="auto"/>
          <w:sz w:val="23"/>
          <w:szCs w:val="23"/>
        </w:rPr>
      </w:pPr>
      <w:r w:rsidRPr="00924FEB">
        <w:rPr>
          <w:rFonts w:ascii="Arial" w:hAnsi="Arial" w:cs="Arial"/>
          <w:color w:val="auto"/>
          <w:sz w:val="23"/>
          <w:szCs w:val="23"/>
        </w:rPr>
        <w:t>hotels and resorts</w:t>
      </w:r>
    </w:p>
    <w:p w14:paraId="6D9A8010" w14:textId="6791298C" w:rsidR="00411EC0" w:rsidRPr="00924FEB" w:rsidRDefault="00645CF0" w:rsidP="00411EC0">
      <w:pPr>
        <w:pStyle w:val="Default"/>
        <w:numPr>
          <w:ilvl w:val="0"/>
          <w:numId w:val="13"/>
        </w:numPr>
        <w:rPr>
          <w:rFonts w:ascii="Arial" w:hAnsi="Arial" w:cs="Arial"/>
          <w:color w:val="auto"/>
          <w:sz w:val="23"/>
          <w:szCs w:val="23"/>
        </w:rPr>
      </w:pPr>
      <w:r w:rsidRPr="00924FEB">
        <w:rPr>
          <w:rFonts w:ascii="Arial" w:hAnsi="Arial" w:cs="Arial"/>
          <w:color w:val="auto"/>
          <w:sz w:val="23"/>
          <w:szCs w:val="23"/>
        </w:rPr>
        <w:t>motels</w:t>
      </w:r>
      <w:r w:rsidR="00411EC0" w:rsidRPr="00924FEB">
        <w:rPr>
          <w:rFonts w:ascii="Arial" w:hAnsi="Arial" w:cs="Arial"/>
          <w:color w:val="auto"/>
          <w:sz w:val="23"/>
          <w:szCs w:val="23"/>
        </w:rPr>
        <w:t xml:space="preserve">, </w:t>
      </w:r>
      <w:r w:rsidRPr="00924FEB">
        <w:rPr>
          <w:rFonts w:ascii="Arial" w:hAnsi="Arial" w:cs="Arial"/>
          <w:color w:val="auto"/>
          <w:sz w:val="23"/>
          <w:szCs w:val="23"/>
        </w:rPr>
        <w:t>private hotels</w:t>
      </w:r>
      <w:r w:rsidR="00411EC0" w:rsidRPr="00924FEB">
        <w:rPr>
          <w:rFonts w:ascii="Arial" w:hAnsi="Arial" w:cs="Arial"/>
          <w:color w:val="auto"/>
          <w:sz w:val="23"/>
          <w:szCs w:val="23"/>
        </w:rPr>
        <w:t xml:space="preserve"> and </w:t>
      </w:r>
      <w:r w:rsidRPr="00924FEB">
        <w:rPr>
          <w:rFonts w:ascii="Arial" w:hAnsi="Arial" w:cs="Arial"/>
          <w:color w:val="auto"/>
          <w:sz w:val="23"/>
          <w:szCs w:val="23"/>
        </w:rPr>
        <w:t>guest houses</w:t>
      </w:r>
    </w:p>
    <w:p w14:paraId="73975A02" w14:textId="77777777" w:rsidR="00411EC0" w:rsidRPr="00924FEB" w:rsidRDefault="00645CF0" w:rsidP="00411EC0">
      <w:pPr>
        <w:pStyle w:val="Default"/>
        <w:numPr>
          <w:ilvl w:val="0"/>
          <w:numId w:val="13"/>
        </w:numPr>
        <w:rPr>
          <w:rFonts w:ascii="Arial" w:hAnsi="Arial" w:cs="Arial"/>
          <w:color w:val="auto"/>
          <w:sz w:val="23"/>
          <w:szCs w:val="23"/>
        </w:rPr>
      </w:pPr>
      <w:r w:rsidRPr="00924FEB">
        <w:rPr>
          <w:rFonts w:ascii="Arial" w:hAnsi="Arial" w:cs="Arial"/>
          <w:color w:val="auto"/>
          <w:sz w:val="23"/>
          <w:szCs w:val="23"/>
        </w:rPr>
        <w:t xml:space="preserve">serviced apartments </w:t>
      </w:r>
    </w:p>
    <w:p w14:paraId="54F0DFE9" w14:textId="2995D19E" w:rsidR="00645CF0" w:rsidRPr="00924FEB" w:rsidRDefault="00645CF0" w:rsidP="00411EC0">
      <w:pPr>
        <w:pStyle w:val="Default"/>
        <w:numPr>
          <w:ilvl w:val="0"/>
          <w:numId w:val="13"/>
        </w:numPr>
        <w:rPr>
          <w:rFonts w:ascii="Arial" w:hAnsi="Arial" w:cs="Arial"/>
          <w:color w:val="auto"/>
          <w:sz w:val="23"/>
          <w:szCs w:val="23"/>
        </w:rPr>
      </w:pPr>
      <w:r w:rsidRPr="00924FEB">
        <w:rPr>
          <w:rFonts w:ascii="Arial" w:hAnsi="Arial" w:cs="Arial"/>
          <w:color w:val="auto"/>
          <w:sz w:val="23"/>
          <w:szCs w:val="23"/>
        </w:rPr>
        <w:t>holiday parks.</w:t>
      </w:r>
    </w:p>
    <w:p w14:paraId="095A4E64" w14:textId="77777777" w:rsidR="00D939B7" w:rsidRPr="00706551" w:rsidRDefault="00D939B7" w:rsidP="00D939B7">
      <w:pPr>
        <w:rPr>
          <w:rFonts w:ascii="Arial" w:hAnsi="Arial" w:cs="Arial"/>
          <w:sz w:val="4"/>
          <w:szCs w:val="4"/>
        </w:rPr>
      </w:pPr>
    </w:p>
    <w:p w14:paraId="3C975FD1" w14:textId="77777777" w:rsidR="00D4503E" w:rsidRDefault="00645CF0" w:rsidP="00706551">
      <w:pPr>
        <w:pStyle w:val="Default"/>
        <w:rPr>
          <w:rFonts w:ascii="Arial" w:hAnsi="Arial" w:cs="Arial"/>
          <w:color w:val="auto"/>
          <w:sz w:val="23"/>
          <w:szCs w:val="23"/>
        </w:rPr>
      </w:pPr>
      <w:r w:rsidRPr="00706551">
        <w:rPr>
          <w:rFonts w:ascii="Arial" w:hAnsi="Arial" w:cs="Arial"/>
          <w:color w:val="auto"/>
          <w:sz w:val="23"/>
          <w:szCs w:val="23"/>
        </w:rPr>
        <w:t>To note:</w:t>
      </w:r>
      <w:r w:rsidR="00CD35AC" w:rsidRPr="00706551">
        <w:rPr>
          <w:rFonts w:ascii="Arial" w:hAnsi="Arial" w:cs="Arial"/>
          <w:color w:val="auto"/>
          <w:sz w:val="23"/>
          <w:szCs w:val="23"/>
        </w:rPr>
        <w:t xml:space="preserve"> s</w:t>
      </w:r>
      <w:r w:rsidRPr="00706551">
        <w:rPr>
          <w:rFonts w:ascii="Arial" w:hAnsi="Arial" w:cs="Arial"/>
          <w:color w:val="auto"/>
          <w:sz w:val="23"/>
          <w:szCs w:val="23"/>
        </w:rPr>
        <w:t xml:space="preserve">ome estimates have been updated in this release and do not reflect previously reported figures.  </w:t>
      </w:r>
    </w:p>
    <w:p w14:paraId="39FF7021" w14:textId="77777777" w:rsidR="00D4503E" w:rsidRDefault="00D4503E" w:rsidP="00706551">
      <w:pPr>
        <w:pStyle w:val="Default"/>
        <w:rPr>
          <w:rFonts w:ascii="Arial" w:hAnsi="Arial" w:cs="Arial"/>
          <w:color w:val="auto"/>
          <w:sz w:val="23"/>
          <w:szCs w:val="23"/>
        </w:rPr>
      </w:pPr>
    </w:p>
    <w:p w14:paraId="503B6263" w14:textId="164396DE" w:rsidR="00254649" w:rsidRPr="00706551" w:rsidRDefault="007E578D" w:rsidP="00706551">
      <w:pPr>
        <w:pStyle w:val="Default"/>
        <w:rPr>
          <w:rFonts w:ascii="Arial" w:hAnsi="Arial" w:cs="Arial"/>
          <w:color w:val="auto"/>
          <w:sz w:val="23"/>
          <w:szCs w:val="23"/>
        </w:rPr>
      </w:pPr>
      <w:r w:rsidRPr="00706551">
        <w:rPr>
          <w:rFonts w:ascii="Arial" w:hAnsi="Arial" w:cs="Arial"/>
          <w:color w:val="auto"/>
          <w:sz w:val="23"/>
          <w:szCs w:val="23"/>
        </w:rPr>
        <w:t>R</w:t>
      </w:r>
      <w:r w:rsidR="00645CF0" w:rsidRPr="00706551">
        <w:rPr>
          <w:rFonts w:ascii="Arial" w:hAnsi="Arial" w:cs="Arial"/>
          <w:color w:val="auto"/>
          <w:sz w:val="23"/>
          <w:szCs w:val="23"/>
        </w:rPr>
        <w:t>evenue per available room</w:t>
      </w:r>
      <w:r w:rsidRPr="00706551">
        <w:rPr>
          <w:rFonts w:ascii="Arial" w:hAnsi="Arial" w:cs="Arial"/>
          <w:color w:val="auto"/>
          <w:sz w:val="23"/>
          <w:szCs w:val="23"/>
        </w:rPr>
        <w:t xml:space="preserve"> is also </w:t>
      </w:r>
      <w:r w:rsidR="00E72300" w:rsidRPr="00706551">
        <w:rPr>
          <w:rFonts w:ascii="Arial" w:hAnsi="Arial" w:cs="Arial"/>
          <w:color w:val="auto"/>
          <w:sz w:val="23"/>
          <w:szCs w:val="23"/>
        </w:rPr>
        <w:t>noted</w:t>
      </w:r>
      <w:r w:rsidRPr="00706551">
        <w:rPr>
          <w:rFonts w:ascii="Arial" w:hAnsi="Arial" w:cs="Arial"/>
          <w:color w:val="auto"/>
          <w:sz w:val="23"/>
          <w:szCs w:val="23"/>
        </w:rPr>
        <w:t xml:space="preserve"> </w:t>
      </w:r>
      <w:r w:rsidR="00E72300" w:rsidRPr="00706551">
        <w:rPr>
          <w:rFonts w:ascii="Arial" w:hAnsi="Arial" w:cs="Arial"/>
          <w:color w:val="auto"/>
          <w:sz w:val="23"/>
          <w:szCs w:val="23"/>
        </w:rPr>
        <w:t xml:space="preserve">in the industry </w:t>
      </w:r>
      <w:r w:rsidRPr="00706551">
        <w:rPr>
          <w:rFonts w:ascii="Arial" w:hAnsi="Arial" w:cs="Arial"/>
          <w:color w:val="auto"/>
          <w:sz w:val="23"/>
          <w:szCs w:val="23"/>
        </w:rPr>
        <w:t>as RevPAR</w:t>
      </w:r>
      <w:r w:rsidR="00E72300" w:rsidRPr="00706551">
        <w:rPr>
          <w:rFonts w:ascii="Arial" w:hAnsi="Arial" w:cs="Arial"/>
          <w:color w:val="auto"/>
          <w:sz w:val="23"/>
          <w:szCs w:val="23"/>
        </w:rPr>
        <w:t>.</w:t>
      </w:r>
      <w:r w:rsidR="00645CF0" w:rsidRPr="00706551">
        <w:rPr>
          <w:rFonts w:ascii="Arial" w:hAnsi="Arial" w:cs="Arial"/>
          <w:color w:val="auto"/>
          <w:sz w:val="23"/>
          <w:szCs w:val="23"/>
        </w:rPr>
        <w:br/>
      </w:r>
    </w:p>
    <w:p w14:paraId="6A8D4478" w14:textId="725E55A1" w:rsidR="00A42A07" w:rsidRPr="00924FEB" w:rsidRDefault="00A42A07" w:rsidP="00A42A07">
      <w:pPr>
        <w:pStyle w:val="Default"/>
        <w:rPr>
          <w:rFonts w:ascii="Arial" w:hAnsi="Arial" w:cs="Arial"/>
          <w:color w:val="auto"/>
          <w:sz w:val="23"/>
          <w:szCs w:val="23"/>
        </w:rPr>
      </w:pPr>
      <w:r w:rsidRPr="00924FEB">
        <w:rPr>
          <w:rFonts w:ascii="Arial" w:hAnsi="Arial" w:cs="Arial"/>
          <w:color w:val="auto"/>
          <w:sz w:val="23"/>
          <w:szCs w:val="23"/>
        </w:rPr>
        <w:t>Report produced by the Tourism and Events Research Unit</w:t>
      </w:r>
    </w:p>
    <w:p w14:paraId="48889EDD" w14:textId="32D4ACED" w:rsidR="00A42A07" w:rsidRPr="00924FEB" w:rsidRDefault="00A42A07" w:rsidP="00A42A07">
      <w:pPr>
        <w:pStyle w:val="Default"/>
        <w:rPr>
          <w:rFonts w:ascii="Arial" w:hAnsi="Arial" w:cs="Arial"/>
          <w:color w:val="auto"/>
          <w:sz w:val="23"/>
          <w:szCs w:val="23"/>
        </w:rPr>
      </w:pPr>
      <w:r w:rsidRPr="00924FEB">
        <w:rPr>
          <w:rFonts w:ascii="Arial" w:hAnsi="Arial" w:cs="Arial"/>
          <w:color w:val="auto"/>
          <w:sz w:val="23"/>
          <w:szCs w:val="23"/>
        </w:rPr>
        <w:t>Department of Jobs, Skills, Industry and Regions</w:t>
      </w:r>
      <w:r w:rsidR="00A338FF" w:rsidRPr="00924FEB">
        <w:rPr>
          <w:rFonts w:ascii="Arial" w:hAnsi="Arial" w:cs="Arial"/>
          <w:color w:val="auto"/>
          <w:sz w:val="23"/>
          <w:szCs w:val="23"/>
        </w:rPr>
        <w:t xml:space="preserve"> (DJSIR)</w:t>
      </w:r>
    </w:p>
    <w:p w14:paraId="3C435402" w14:textId="77777777" w:rsidR="00A42A07" w:rsidRPr="00924FEB" w:rsidRDefault="00A42A07" w:rsidP="00A42A07">
      <w:pPr>
        <w:pStyle w:val="Default"/>
        <w:rPr>
          <w:rFonts w:ascii="Arial" w:hAnsi="Arial" w:cs="Arial"/>
          <w:color w:val="auto"/>
          <w:sz w:val="23"/>
          <w:szCs w:val="23"/>
        </w:rPr>
      </w:pPr>
      <w:r w:rsidRPr="00924FEB">
        <w:rPr>
          <w:rFonts w:ascii="Arial" w:hAnsi="Arial" w:cs="Arial"/>
          <w:color w:val="auto"/>
          <w:sz w:val="23"/>
          <w:szCs w:val="23"/>
        </w:rPr>
        <w:t>Victorian Government</w:t>
      </w:r>
    </w:p>
    <w:p w14:paraId="7DFAB4C1" w14:textId="177D85A5" w:rsidR="00A42A07" w:rsidRPr="00924FEB" w:rsidRDefault="00A42A07" w:rsidP="00A42A07">
      <w:pPr>
        <w:pStyle w:val="Default"/>
        <w:rPr>
          <w:rFonts w:ascii="Arial" w:hAnsi="Arial" w:cs="Arial"/>
          <w:color w:val="auto"/>
          <w:sz w:val="23"/>
          <w:szCs w:val="23"/>
        </w:rPr>
      </w:pPr>
      <w:r w:rsidRPr="00924FEB">
        <w:rPr>
          <w:rFonts w:ascii="Arial" w:hAnsi="Arial" w:cs="Arial"/>
          <w:color w:val="auto"/>
          <w:sz w:val="23"/>
          <w:szCs w:val="23"/>
        </w:rPr>
        <w:t xml:space="preserve">Data published </w:t>
      </w:r>
      <w:r w:rsidR="00254649" w:rsidRPr="00924FEB">
        <w:rPr>
          <w:rFonts w:ascii="Arial" w:hAnsi="Arial" w:cs="Arial"/>
          <w:color w:val="auto"/>
          <w:sz w:val="23"/>
          <w:szCs w:val="23"/>
        </w:rPr>
        <w:t>October</w:t>
      </w:r>
      <w:r w:rsidR="006944B6" w:rsidRPr="00924FEB">
        <w:rPr>
          <w:rFonts w:ascii="Arial" w:hAnsi="Arial" w:cs="Arial"/>
          <w:color w:val="auto"/>
          <w:sz w:val="23"/>
          <w:szCs w:val="23"/>
        </w:rPr>
        <w:t xml:space="preserve"> </w:t>
      </w:r>
      <w:r w:rsidRPr="00924FEB">
        <w:rPr>
          <w:rFonts w:ascii="Arial" w:hAnsi="Arial" w:cs="Arial"/>
          <w:color w:val="auto"/>
          <w:sz w:val="23"/>
          <w:szCs w:val="23"/>
        </w:rPr>
        <w:t>202</w:t>
      </w:r>
      <w:r w:rsidR="00924FEB">
        <w:rPr>
          <w:rFonts w:ascii="Arial" w:hAnsi="Arial" w:cs="Arial"/>
          <w:color w:val="auto"/>
          <w:sz w:val="23"/>
          <w:szCs w:val="23"/>
        </w:rPr>
        <w:t>4</w:t>
      </w:r>
      <w:r w:rsidR="00D4503E">
        <w:rPr>
          <w:rFonts w:ascii="Arial" w:hAnsi="Arial" w:cs="Arial"/>
          <w:color w:val="auto"/>
          <w:sz w:val="23"/>
          <w:szCs w:val="23"/>
        </w:rPr>
        <w:t>.</w:t>
      </w:r>
    </w:p>
    <w:p w14:paraId="703F167C" w14:textId="77777777" w:rsidR="00F35532" w:rsidRPr="00706551" w:rsidRDefault="00F35532" w:rsidP="00124CE3">
      <w:pPr>
        <w:rPr>
          <w:rFonts w:ascii="Arial" w:hAnsi="Arial" w:cs="Arial"/>
          <w:sz w:val="4"/>
          <w:szCs w:val="4"/>
        </w:rPr>
      </w:pPr>
    </w:p>
    <w:p w14:paraId="750D1851" w14:textId="6AE31C68" w:rsidR="00007569" w:rsidRPr="00924FEB" w:rsidRDefault="00007569" w:rsidP="00007569">
      <w:pPr>
        <w:pStyle w:val="Default"/>
        <w:spacing w:before="120" w:after="120"/>
        <w:rPr>
          <w:rFonts w:ascii="Arial" w:hAnsi="Arial" w:cs="Arial"/>
          <w:color w:val="auto"/>
          <w:sz w:val="23"/>
          <w:szCs w:val="23"/>
        </w:rPr>
      </w:pPr>
      <w:r w:rsidRPr="00924FEB">
        <w:rPr>
          <w:rFonts w:ascii="Arial" w:hAnsi="Arial" w:cs="Arial"/>
          <w:color w:val="auto"/>
          <w:sz w:val="23"/>
          <w:szCs w:val="23"/>
        </w:rPr>
        <w:t xml:space="preserve">Due care is taken in the production of this factsheet, however DJSIR accepts no responsibility for use of this information. Data </w:t>
      </w:r>
      <w:r w:rsidR="00EA6EB0" w:rsidRPr="00924FEB">
        <w:rPr>
          <w:rFonts w:ascii="Arial" w:hAnsi="Arial" w:cs="Arial"/>
          <w:color w:val="auto"/>
          <w:sz w:val="23"/>
          <w:szCs w:val="23"/>
        </w:rPr>
        <w:t xml:space="preserve">is </w:t>
      </w:r>
      <w:r w:rsidRPr="00924FEB">
        <w:rPr>
          <w:rFonts w:ascii="Arial" w:hAnsi="Arial" w:cs="Arial"/>
          <w:color w:val="auto"/>
          <w:sz w:val="23"/>
          <w:szCs w:val="23"/>
        </w:rPr>
        <w:t xml:space="preserve">considered correct at </w:t>
      </w:r>
      <w:r w:rsidR="00EA6EB0" w:rsidRPr="00924FEB">
        <w:rPr>
          <w:rFonts w:ascii="Arial" w:hAnsi="Arial" w:cs="Arial"/>
          <w:color w:val="auto"/>
          <w:sz w:val="23"/>
          <w:szCs w:val="23"/>
        </w:rPr>
        <w:t xml:space="preserve">the </w:t>
      </w:r>
      <w:r w:rsidRPr="00924FEB">
        <w:rPr>
          <w:rFonts w:ascii="Arial" w:hAnsi="Arial" w:cs="Arial"/>
          <w:color w:val="auto"/>
          <w:sz w:val="23"/>
          <w:szCs w:val="23"/>
        </w:rPr>
        <w:t>time of publishing.</w:t>
      </w:r>
    </w:p>
    <w:p w14:paraId="69392430" w14:textId="436CB3F7" w:rsidR="00A42A07" w:rsidRPr="00924FEB" w:rsidRDefault="00A42A07" w:rsidP="00A42A07">
      <w:pPr>
        <w:pStyle w:val="Default"/>
        <w:rPr>
          <w:rFonts w:ascii="Arial" w:hAnsi="Arial" w:cs="Arial"/>
          <w:color w:val="auto"/>
          <w:sz w:val="23"/>
          <w:szCs w:val="23"/>
        </w:rPr>
      </w:pPr>
      <w:r w:rsidRPr="00924FEB">
        <w:rPr>
          <w:rFonts w:ascii="Arial" w:hAnsi="Arial" w:cs="Arial"/>
          <w:color w:val="auto"/>
          <w:sz w:val="23"/>
          <w:szCs w:val="23"/>
        </w:rPr>
        <w:t xml:space="preserve">Please contact </w:t>
      </w:r>
      <w:r w:rsidR="00307AE7" w:rsidRPr="00924FEB">
        <w:rPr>
          <w:rFonts w:ascii="Arial" w:hAnsi="Arial" w:cs="Arial"/>
          <w:color w:val="auto"/>
          <w:sz w:val="23"/>
          <w:szCs w:val="23"/>
        </w:rPr>
        <w:t xml:space="preserve">the Research team </w:t>
      </w:r>
      <w:r w:rsidRPr="00924FEB">
        <w:rPr>
          <w:rFonts w:ascii="Arial" w:hAnsi="Arial" w:cs="Arial"/>
          <w:color w:val="auto"/>
          <w:sz w:val="23"/>
          <w:szCs w:val="23"/>
        </w:rPr>
        <w:t>with any queries</w:t>
      </w:r>
      <w:r w:rsidR="00D4503E">
        <w:rPr>
          <w:rFonts w:ascii="Arial" w:hAnsi="Arial" w:cs="Arial"/>
          <w:color w:val="auto"/>
          <w:sz w:val="23"/>
          <w:szCs w:val="23"/>
        </w:rPr>
        <w:t xml:space="preserve"> at </w:t>
      </w:r>
      <w:hyperlink r:id="rId10" w:history="1">
        <w:r w:rsidR="00D4503E" w:rsidRPr="00924FEB">
          <w:rPr>
            <w:rStyle w:val="Hyperlink"/>
            <w:rFonts w:ascii="Arial" w:hAnsi="Arial" w:cs="Arial"/>
            <w:sz w:val="23"/>
            <w:szCs w:val="23"/>
          </w:rPr>
          <w:t>research@ecodev.vic.gov.au</w:t>
        </w:r>
      </w:hyperlink>
      <w:r w:rsidR="00D4503E">
        <w:rPr>
          <w:rStyle w:val="Hyperlink"/>
          <w:rFonts w:ascii="Arial" w:hAnsi="Arial" w:cs="Arial"/>
          <w:sz w:val="23"/>
          <w:szCs w:val="23"/>
        </w:rPr>
        <w:t>.</w:t>
      </w:r>
    </w:p>
    <w:sectPr w:rsidR="00A42A07" w:rsidRPr="00924FEB" w:rsidSect="00D70A1F">
      <w:headerReference w:type="default" r:id="rId11"/>
      <w:footerReference w:type="default" r:id="rId12"/>
      <w:type w:val="continuous"/>
      <w:pgSz w:w="11906" w:h="16838"/>
      <w:pgMar w:top="851" w:right="849" w:bottom="851"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8C35B" w14:textId="77777777" w:rsidR="00A43BCB" w:rsidRDefault="00A43BCB" w:rsidP="00D67AEC">
      <w:pPr>
        <w:spacing w:after="0" w:line="240" w:lineRule="auto"/>
      </w:pPr>
      <w:r>
        <w:separator/>
      </w:r>
    </w:p>
  </w:endnote>
  <w:endnote w:type="continuationSeparator" w:id="0">
    <w:p w14:paraId="003A4AFC" w14:textId="77777777" w:rsidR="00A43BCB" w:rsidRDefault="00A43BCB" w:rsidP="00D67AEC">
      <w:pPr>
        <w:spacing w:after="0" w:line="240" w:lineRule="auto"/>
      </w:pPr>
      <w:r>
        <w:continuationSeparator/>
      </w:r>
    </w:p>
  </w:endnote>
  <w:endnote w:type="continuationNotice" w:id="1">
    <w:p w14:paraId="66BDC97D" w14:textId="77777777" w:rsidR="00A43BCB" w:rsidRDefault="00A43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1F164" w14:textId="27FF2558" w:rsidR="00A5328C" w:rsidRPr="002D0669" w:rsidRDefault="0070349F">
    <w:pPr>
      <w:pStyle w:val="Footer"/>
      <w:jc w:val="right"/>
      <w:rPr>
        <w:rFonts w:ascii="Arial" w:hAnsi="Arial" w:cs="Arial"/>
      </w:rPr>
    </w:pPr>
    <w:r w:rsidRPr="002D0669">
      <w:rPr>
        <w:rFonts w:ascii="Arial" w:hAnsi="Arial" w:cs="Arial"/>
        <w:noProof/>
      </w:rPr>
      <mc:AlternateContent>
        <mc:Choice Requires="wps">
          <w:drawing>
            <wp:anchor distT="0" distB="0" distL="114300" distR="114300" simplePos="0" relativeHeight="251656192" behindDoc="0" locked="0" layoutInCell="0" allowOverlap="1" wp14:anchorId="5953FA14" wp14:editId="024871E5">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4195C" w14:textId="30461843" w:rsidR="0070349F" w:rsidRPr="0070349F" w:rsidRDefault="0070349F" w:rsidP="0070349F">
                          <w:pPr>
                            <w:spacing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53FA14" id="_x0000_t202" coordsize="21600,21600" o:spt="202" path="m,l,21600r21600,l21600,xe">
              <v:stroke joinstyle="miter"/>
              <v:path gradientshapeok="t" o:connecttype="rect"/>
            </v:shapetype>
            <v:shape id="Text Box 1" o:spid="_x0000_s1027"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4944195C" w14:textId="30461843" w:rsidR="0070349F" w:rsidRPr="0070349F" w:rsidRDefault="0070349F" w:rsidP="0070349F">
                    <w:pPr>
                      <w:spacing w:after="0"/>
                      <w:jc w:val="center"/>
                      <w:rPr>
                        <w:rFonts w:ascii="Arial" w:hAnsi="Arial" w:cs="Arial"/>
                        <w:color w:val="000000"/>
                        <w:sz w:val="24"/>
                      </w:rPr>
                    </w:pPr>
                  </w:p>
                </w:txbxContent>
              </v:textbox>
              <w10:wrap anchorx="page" anchory="page"/>
            </v:shape>
          </w:pict>
        </mc:Fallback>
      </mc:AlternateContent>
    </w:r>
    <w:r w:rsidR="00A5328C" w:rsidRPr="002D0669">
      <w:rPr>
        <w:rFonts w:ascii="Arial" w:hAnsi="Arial" w:cs="Arial"/>
      </w:rPr>
      <w:t>State Government of Victoria</w:t>
    </w:r>
  </w:p>
  <w:p w14:paraId="01187820" w14:textId="4D5C8298" w:rsidR="00A5328C" w:rsidRPr="002D0669" w:rsidRDefault="002739FF">
    <w:pPr>
      <w:pStyle w:val="Footer"/>
      <w:jc w:val="right"/>
      <w:rPr>
        <w:rFonts w:ascii="Arial" w:hAnsi="Arial" w:cs="Arial"/>
      </w:rPr>
    </w:pPr>
    <w:r w:rsidRPr="002D0669">
      <w:rPr>
        <w:rFonts w:ascii="Arial" w:hAnsi="Arial" w:cs="Arial"/>
      </w:rPr>
      <w:t xml:space="preserve">Victoria’s Accommodation Sector </w:t>
    </w:r>
    <w:r w:rsidR="00DD2443" w:rsidRPr="002D0669">
      <w:rPr>
        <w:rFonts w:ascii="Arial" w:hAnsi="Arial" w:cs="Arial"/>
      </w:rPr>
      <w:t>202</w:t>
    </w:r>
    <w:r w:rsidR="002D0669">
      <w:rPr>
        <w:rFonts w:ascii="Arial" w:hAnsi="Arial" w:cs="Arial"/>
      </w:rPr>
      <w:t xml:space="preserve">3-24 </w:t>
    </w:r>
    <w:r w:rsidR="00256066" w:rsidRPr="002D0669">
      <w:rPr>
        <w:rFonts w:ascii="Arial" w:hAnsi="Arial" w:cs="Arial"/>
      </w:rPr>
      <w:t>(Optimised for digital accessibility)</w:t>
    </w:r>
    <w:r w:rsidR="00A5328C" w:rsidRPr="002D0669">
      <w:rPr>
        <w:rFonts w:ascii="Arial" w:hAnsi="Arial" w:cs="Arial"/>
      </w:rPr>
      <w:br/>
      <w:t xml:space="preserve">Page </w:t>
    </w:r>
    <w:sdt>
      <w:sdtPr>
        <w:rPr>
          <w:rFonts w:ascii="Arial" w:hAnsi="Arial" w:cs="Arial"/>
        </w:rPr>
        <w:id w:val="-1493786459"/>
        <w:docPartObj>
          <w:docPartGallery w:val="Page Numbers (Bottom of Page)"/>
          <w:docPartUnique/>
        </w:docPartObj>
      </w:sdtPr>
      <w:sdtEndPr>
        <w:rPr>
          <w:noProof/>
        </w:rPr>
      </w:sdtEndPr>
      <w:sdtContent>
        <w:r w:rsidR="00A5328C" w:rsidRPr="002D0669">
          <w:rPr>
            <w:rFonts w:ascii="Arial" w:hAnsi="Arial" w:cs="Arial"/>
          </w:rPr>
          <w:fldChar w:fldCharType="begin"/>
        </w:r>
        <w:r w:rsidR="00A5328C" w:rsidRPr="002D0669">
          <w:rPr>
            <w:rFonts w:ascii="Arial" w:hAnsi="Arial" w:cs="Arial"/>
          </w:rPr>
          <w:instrText xml:space="preserve"> PAGE   \* MERGEFORMAT </w:instrText>
        </w:r>
        <w:r w:rsidR="00A5328C" w:rsidRPr="002D0669">
          <w:rPr>
            <w:rFonts w:ascii="Arial" w:hAnsi="Arial" w:cs="Arial"/>
          </w:rPr>
          <w:fldChar w:fldCharType="separate"/>
        </w:r>
        <w:r w:rsidR="00A5328C" w:rsidRPr="002D0669">
          <w:rPr>
            <w:rFonts w:ascii="Arial" w:hAnsi="Arial" w:cs="Arial"/>
            <w:noProof/>
          </w:rPr>
          <w:t>2</w:t>
        </w:r>
        <w:r w:rsidR="00A5328C" w:rsidRPr="002D0669">
          <w:rPr>
            <w:rFonts w:ascii="Arial" w:hAnsi="Arial" w:cs="Arial"/>
            <w:noProof/>
          </w:rPr>
          <w:fldChar w:fldCharType="end"/>
        </w:r>
      </w:sdtContent>
    </w:sdt>
  </w:p>
  <w:p w14:paraId="3984D39B" w14:textId="0E44D127" w:rsidR="00A5328C" w:rsidRDefault="00A5328C">
    <w:pPr>
      <w:pStyle w:val="Footer"/>
    </w:pPr>
  </w:p>
  <w:p w14:paraId="40BA486A" w14:textId="77777777" w:rsidR="00260290" w:rsidRDefault="002602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147C3" w14:textId="77777777" w:rsidR="00A43BCB" w:rsidRDefault="00A43BCB" w:rsidP="00D67AEC">
      <w:pPr>
        <w:spacing w:after="0" w:line="240" w:lineRule="auto"/>
      </w:pPr>
      <w:r>
        <w:separator/>
      </w:r>
    </w:p>
  </w:footnote>
  <w:footnote w:type="continuationSeparator" w:id="0">
    <w:p w14:paraId="1E4B0CAA" w14:textId="77777777" w:rsidR="00A43BCB" w:rsidRDefault="00A43BCB" w:rsidP="00D67AEC">
      <w:pPr>
        <w:spacing w:after="0" w:line="240" w:lineRule="auto"/>
      </w:pPr>
      <w:r>
        <w:continuationSeparator/>
      </w:r>
    </w:p>
  </w:footnote>
  <w:footnote w:type="continuationNotice" w:id="1">
    <w:p w14:paraId="4A9AEFBD" w14:textId="77777777" w:rsidR="00A43BCB" w:rsidRDefault="00A43B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6622" w14:textId="533F8D35" w:rsidR="00EA2EEB" w:rsidRDefault="0070349F">
    <w:pPr>
      <w:pStyle w:val="Header"/>
    </w:pPr>
    <w:r>
      <w:rPr>
        <w:noProof/>
      </w:rPr>
      <mc:AlternateContent>
        <mc:Choice Requires="wps">
          <w:drawing>
            <wp:anchor distT="0" distB="0" distL="114300" distR="114300" simplePos="0" relativeHeight="251652096" behindDoc="0" locked="0" layoutInCell="0" allowOverlap="1" wp14:anchorId="10DA3100" wp14:editId="48191254">
              <wp:simplePos x="0" y="0"/>
              <wp:positionH relativeFrom="page">
                <wp:posOffset>0</wp:posOffset>
              </wp:positionH>
              <wp:positionV relativeFrom="page">
                <wp:posOffset>190500</wp:posOffset>
              </wp:positionV>
              <wp:extent cx="7560310" cy="252095"/>
              <wp:effectExtent l="0" t="0" r="0" b="14605"/>
              <wp:wrapNone/>
              <wp:docPr id="2" name="Text Box 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F0C93" w14:textId="04E105D3" w:rsidR="0070349F" w:rsidRPr="0070349F" w:rsidRDefault="0070349F" w:rsidP="0070349F">
                          <w:pPr>
                            <w:spacing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DA3100" id="_x0000_t202" coordsize="21600,21600" o:spt="202" path="m,l,21600r21600,l21600,xe">
              <v:stroke joinstyle="miter"/>
              <v:path gradientshapeok="t" o:connecttype="rect"/>
            </v:shapetype>
            <v:shape id="Text Box 2"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E6F0C93" w14:textId="04E105D3" w:rsidR="0070349F" w:rsidRPr="0070349F" w:rsidRDefault="0070349F" w:rsidP="0070349F">
                    <w:pPr>
                      <w:spacing w:after="0"/>
                      <w:jc w:val="center"/>
                      <w:rPr>
                        <w:rFonts w:ascii="Arial" w:hAnsi="Arial" w:cs="Arial"/>
                        <w:color w:val="000000"/>
                        <w:sz w:val="24"/>
                      </w:rPr>
                    </w:pPr>
                  </w:p>
                </w:txbxContent>
              </v:textbox>
              <w10:wrap anchorx="page" anchory="page"/>
            </v:shape>
          </w:pict>
        </mc:Fallback>
      </mc:AlternateContent>
    </w:r>
  </w:p>
  <w:p w14:paraId="3FCFA387" w14:textId="77777777" w:rsidR="00260290" w:rsidRDefault="002602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63C6"/>
    <w:multiLevelType w:val="hybridMultilevel"/>
    <w:tmpl w:val="8C56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B6B17"/>
    <w:multiLevelType w:val="multilevel"/>
    <w:tmpl w:val="2126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228ED"/>
    <w:multiLevelType w:val="hybridMultilevel"/>
    <w:tmpl w:val="94945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0112CF"/>
    <w:multiLevelType w:val="hybridMultilevel"/>
    <w:tmpl w:val="AC78E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301654"/>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E1E0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951A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2704E44"/>
    <w:multiLevelType w:val="multilevel"/>
    <w:tmpl w:val="7F8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25273"/>
    <w:multiLevelType w:val="hybridMultilevel"/>
    <w:tmpl w:val="7C10F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7837D0"/>
    <w:multiLevelType w:val="hybridMultilevel"/>
    <w:tmpl w:val="E7B8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974E91"/>
    <w:multiLevelType w:val="hybridMultilevel"/>
    <w:tmpl w:val="8E4806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864D4E"/>
    <w:multiLevelType w:val="hybridMultilevel"/>
    <w:tmpl w:val="ED56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396CC8"/>
    <w:multiLevelType w:val="hybridMultilevel"/>
    <w:tmpl w:val="F968B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AE5312"/>
    <w:multiLevelType w:val="multilevel"/>
    <w:tmpl w:val="57CCC7A2"/>
    <w:lvl w:ilvl="0">
      <w:start w:val="11"/>
      <w:numFmt w:val="decimal"/>
      <w:lvlText w:val="%1"/>
      <w:lvlJc w:val="left"/>
      <w:pPr>
        <w:ind w:left="420" w:hanging="420"/>
      </w:pPr>
      <w:rPr>
        <w:rFonts w:asciiTheme="minorHAnsi" w:hAnsiTheme="minorHAnsi" w:cstheme="minorBidi" w:hint="default"/>
        <w:color w:val="auto"/>
        <w:sz w:val="23"/>
      </w:rPr>
    </w:lvl>
    <w:lvl w:ilvl="1">
      <w:start w:val="2"/>
      <w:numFmt w:val="decimal"/>
      <w:lvlText w:val="%1.%2"/>
      <w:lvlJc w:val="left"/>
      <w:pPr>
        <w:ind w:left="720" w:hanging="720"/>
      </w:pPr>
      <w:rPr>
        <w:rFonts w:asciiTheme="minorHAnsi" w:hAnsiTheme="minorHAnsi" w:cstheme="minorBidi" w:hint="default"/>
        <w:color w:val="auto"/>
        <w:sz w:val="23"/>
      </w:rPr>
    </w:lvl>
    <w:lvl w:ilvl="2">
      <w:start w:val="1"/>
      <w:numFmt w:val="decimal"/>
      <w:lvlText w:val="%1.%2.%3"/>
      <w:lvlJc w:val="left"/>
      <w:pPr>
        <w:ind w:left="720" w:hanging="720"/>
      </w:pPr>
      <w:rPr>
        <w:rFonts w:asciiTheme="minorHAnsi" w:hAnsiTheme="minorHAnsi" w:cstheme="minorBidi" w:hint="default"/>
        <w:color w:val="auto"/>
        <w:sz w:val="23"/>
      </w:rPr>
    </w:lvl>
    <w:lvl w:ilvl="3">
      <w:start w:val="1"/>
      <w:numFmt w:val="decimal"/>
      <w:lvlText w:val="%1.%2.%3.%4"/>
      <w:lvlJc w:val="left"/>
      <w:pPr>
        <w:ind w:left="1080" w:hanging="1080"/>
      </w:pPr>
      <w:rPr>
        <w:rFonts w:asciiTheme="minorHAnsi" w:hAnsiTheme="minorHAnsi" w:cstheme="minorBidi" w:hint="default"/>
        <w:color w:val="auto"/>
        <w:sz w:val="23"/>
      </w:rPr>
    </w:lvl>
    <w:lvl w:ilvl="4">
      <w:start w:val="1"/>
      <w:numFmt w:val="decimal"/>
      <w:lvlText w:val="%1.%2.%3.%4.%5"/>
      <w:lvlJc w:val="left"/>
      <w:pPr>
        <w:ind w:left="1080" w:hanging="1080"/>
      </w:pPr>
      <w:rPr>
        <w:rFonts w:asciiTheme="minorHAnsi" w:hAnsiTheme="minorHAnsi" w:cstheme="minorBidi" w:hint="default"/>
        <w:color w:val="auto"/>
        <w:sz w:val="23"/>
      </w:rPr>
    </w:lvl>
    <w:lvl w:ilvl="5">
      <w:start w:val="1"/>
      <w:numFmt w:val="decimal"/>
      <w:lvlText w:val="%1.%2.%3.%4.%5.%6"/>
      <w:lvlJc w:val="left"/>
      <w:pPr>
        <w:ind w:left="1440" w:hanging="1440"/>
      </w:pPr>
      <w:rPr>
        <w:rFonts w:asciiTheme="minorHAnsi" w:hAnsiTheme="minorHAnsi" w:cstheme="minorBidi" w:hint="default"/>
        <w:color w:val="auto"/>
        <w:sz w:val="23"/>
      </w:rPr>
    </w:lvl>
    <w:lvl w:ilvl="6">
      <w:start w:val="1"/>
      <w:numFmt w:val="decimal"/>
      <w:lvlText w:val="%1.%2.%3.%4.%5.%6.%7"/>
      <w:lvlJc w:val="left"/>
      <w:pPr>
        <w:ind w:left="1800" w:hanging="1800"/>
      </w:pPr>
      <w:rPr>
        <w:rFonts w:asciiTheme="minorHAnsi" w:hAnsiTheme="minorHAnsi" w:cstheme="minorBidi" w:hint="default"/>
        <w:color w:val="auto"/>
        <w:sz w:val="23"/>
      </w:rPr>
    </w:lvl>
    <w:lvl w:ilvl="7">
      <w:start w:val="1"/>
      <w:numFmt w:val="decimal"/>
      <w:lvlText w:val="%1.%2.%3.%4.%5.%6.%7.%8"/>
      <w:lvlJc w:val="left"/>
      <w:pPr>
        <w:ind w:left="1800" w:hanging="1800"/>
      </w:pPr>
      <w:rPr>
        <w:rFonts w:asciiTheme="minorHAnsi" w:hAnsiTheme="minorHAnsi" w:cstheme="minorBidi" w:hint="default"/>
        <w:color w:val="auto"/>
        <w:sz w:val="23"/>
      </w:rPr>
    </w:lvl>
    <w:lvl w:ilvl="8">
      <w:start w:val="1"/>
      <w:numFmt w:val="decimal"/>
      <w:lvlText w:val="%1.%2.%3.%4.%5.%6.%7.%8.%9"/>
      <w:lvlJc w:val="left"/>
      <w:pPr>
        <w:ind w:left="2160" w:hanging="2160"/>
      </w:pPr>
      <w:rPr>
        <w:rFonts w:asciiTheme="minorHAnsi" w:hAnsiTheme="minorHAnsi" w:cstheme="minorBidi" w:hint="default"/>
        <w:color w:val="auto"/>
        <w:sz w:val="23"/>
      </w:rPr>
    </w:lvl>
  </w:abstractNum>
  <w:abstractNum w:abstractNumId="14" w15:restartNumberingAfterBreak="0">
    <w:nsid w:val="579A7F68"/>
    <w:multiLevelType w:val="hybridMultilevel"/>
    <w:tmpl w:val="1F06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F05455"/>
    <w:multiLevelType w:val="multilevel"/>
    <w:tmpl w:val="030C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0836E9"/>
    <w:multiLevelType w:val="multilevel"/>
    <w:tmpl w:val="90E05F3C"/>
    <w:lvl w:ilvl="0">
      <w:start w:val="1"/>
      <w:numFmt w:val="decimal"/>
      <w:lvlText w:val="%1.0"/>
      <w:lvlJc w:val="left"/>
      <w:pPr>
        <w:ind w:left="670" w:hanging="670"/>
      </w:pPr>
      <w:rPr>
        <w:rFonts w:hint="default"/>
      </w:rPr>
    </w:lvl>
    <w:lvl w:ilvl="1">
      <w:start w:val="1"/>
      <w:numFmt w:val="decimal"/>
      <w:lvlText w:val="%1.%2"/>
      <w:lvlJc w:val="left"/>
      <w:pPr>
        <w:ind w:left="1390" w:hanging="6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0605238"/>
    <w:multiLevelType w:val="hybridMultilevel"/>
    <w:tmpl w:val="09F67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694F0B"/>
    <w:multiLevelType w:val="hybridMultilevel"/>
    <w:tmpl w:val="5202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943974">
    <w:abstractNumId w:val="9"/>
  </w:num>
  <w:num w:numId="2" w16cid:durableId="1958488177">
    <w:abstractNumId w:val="10"/>
  </w:num>
  <w:num w:numId="3" w16cid:durableId="1835336290">
    <w:abstractNumId w:val="4"/>
  </w:num>
  <w:num w:numId="4" w16cid:durableId="559093697">
    <w:abstractNumId w:val="5"/>
  </w:num>
  <w:num w:numId="5" w16cid:durableId="1232079142">
    <w:abstractNumId w:val="6"/>
  </w:num>
  <w:num w:numId="6" w16cid:durableId="1349287126">
    <w:abstractNumId w:val="0"/>
  </w:num>
  <w:num w:numId="7" w16cid:durableId="616252079">
    <w:abstractNumId w:val="2"/>
  </w:num>
  <w:num w:numId="8" w16cid:durableId="1462072397">
    <w:abstractNumId w:val="17"/>
  </w:num>
  <w:num w:numId="9" w16cid:durableId="56782981">
    <w:abstractNumId w:val="18"/>
  </w:num>
  <w:num w:numId="10" w16cid:durableId="1596672208">
    <w:abstractNumId w:val="3"/>
  </w:num>
  <w:num w:numId="11" w16cid:durableId="1028486823">
    <w:abstractNumId w:val="12"/>
  </w:num>
  <w:num w:numId="12" w16cid:durableId="647056365">
    <w:abstractNumId w:val="13"/>
  </w:num>
  <w:num w:numId="13" w16cid:durableId="1813908888">
    <w:abstractNumId w:val="8"/>
  </w:num>
  <w:num w:numId="14" w16cid:durableId="214781007">
    <w:abstractNumId w:val="16"/>
  </w:num>
  <w:num w:numId="15" w16cid:durableId="121391386">
    <w:abstractNumId w:val="15"/>
  </w:num>
  <w:num w:numId="16" w16cid:durableId="181360892">
    <w:abstractNumId w:val="7"/>
  </w:num>
  <w:num w:numId="17" w16cid:durableId="506406540">
    <w:abstractNumId w:val="1"/>
  </w:num>
  <w:num w:numId="18" w16cid:durableId="705957160">
    <w:abstractNumId w:val="14"/>
  </w:num>
  <w:num w:numId="19" w16cid:durableId="523179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44"/>
    <w:rsid w:val="00000D16"/>
    <w:rsid w:val="00001900"/>
    <w:rsid w:val="00003701"/>
    <w:rsid w:val="00007569"/>
    <w:rsid w:val="00010493"/>
    <w:rsid w:val="00012052"/>
    <w:rsid w:val="000121CE"/>
    <w:rsid w:val="0001351C"/>
    <w:rsid w:val="00026057"/>
    <w:rsid w:val="00031156"/>
    <w:rsid w:val="00040472"/>
    <w:rsid w:val="00052FF8"/>
    <w:rsid w:val="00055B24"/>
    <w:rsid w:val="00056B7A"/>
    <w:rsid w:val="00056D7A"/>
    <w:rsid w:val="00060CE3"/>
    <w:rsid w:val="00062115"/>
    <w:rsid w:val="0006406D"/>
    <w:rsid w:val="00067708"/>
    <w:rsid w:val="000710FB"/>
    <w:rsid w:val="00075A77"/>
    <w:rsid w:val="000761D2"/>
    <w:rsid w:val="000774ED"/>
    <w:rsid w:val="00085394"/>
    <w:rsid w:val="00086B6D"/>
    <w:rsid w:val="00095CD8"/>
    <w:rsid w:val="00096DBA"/>
    <w:rsid w:val="000A2EDC"/>
    <w:rsid w:val="000A7F31"/>
    <w:rsid w:val="000B3C14"/>
    <w:rsid w:val="000B7918"/>
    <w:rsid w:val="000C0220"/>
    <w:rsid w:val="000C1B24"/>
    <w:rsid w:val="000D15F7"/>
    <w:rsid w:val="000D6AC1"/>
    <w:rsid w:val="000E19EE"/>
    <w:rsid w:val="000E3356"/>
    <w:rsid w:val="000E42CE"/>
    <w:rsid w:val="000E7245"/>
    <w:rsid w:val="000F696D"/>
    <w:rsid w:val="00100FFF"/>
    <w:rsid w:val="00101572"/>
    <w:rsid w:val="0010160D"/>
    <w:rsid w:val="0010489F"/>
    <w:rsid w:val="00105354"/>
    <w:rsid w:val="00113341"/>
    <w:rsid w:val="00114B75"/>
    <w:rsid w:val="00122D91"/>
    <w:rsid w:val="00123554"/>
    <w:rsid w:val="00124B78"/>
    <w:rsid w:val="00124CE3"/>
    <w:rsid w:val="0012584E"/>
    <w:rsid w:val="001273E2"/>
    <w:rsid w:val="001337E2"/>
    <w:rsid w:val="00140697"/>
    <w:rsid w:val="00140A55"/>
    <w:rsid w:val="00140ADE"/>
    <w:rsid w:val="001445C1"/>
    <w:rsid w:val="00145D43"/>
    <w:rsid w:val="00145E6E"/>
    <w:rsid w:val="0014649D"/>
    <w:rsid w:val="00147288"/>
    <w:rsid w:val="00147707"/>
    <w:rsid w:val="00150DFC"/>
    <w:rsid w:val="001527A3"/>
    <w:rsid w:val="00157FEE"/>
    <w:rsid w:val="00162EDF"/>
    <w:rsid w:val="00171925"/>
    <w:rsid w:val="00173192"/>
    <w:rsid w:val="0018091B"/>
    <w:rsid w:val="0018601F"/>
    <w:rsid w:val="00190733"/>
    <w:rsid w:val="00191B9D"/>
    <w:rsid w:val="0019253F"/>
    <w:rsid w:val="00193506"/>
    <w:rsid w:val="00196CDE"/>
    <w:rsid w:val="00196D10"/>
    <w:rsid w:val="001A11A3"/>
    <w:rsid w:val="001B2A1A"/>
    <w:rsid w:val="001B7A72"/>
    <w:rsid w:val="001D23C2"/>
    <w:rsid w:val="001D3D65"/>
    <w:rsid w:val="001E0D28"/>
    <w:rsid w:val="001E5213"/>
    <w:rsid w:val="001E7961"/>
    <w:rsid w:val="001F08FC"/>
    <w:rsid w:val="001F1770"/>
    <w:rsid w:val="001F5B78"/>
    <w:rsid w:val="001F6807"/>
    <w:rsid w:val="001F7293"/>
    <w:rsid w:val="001F7EF5"/>
    <w:rsid w:val="00202ADD"/>
    <w:rsid w:val="00204B49"/>
    <w:rsid w:val="002073B5"/>
    <w:rsid w:val="002153FA"/>
    <w:rsid w:val="00221948"/>
    <w:rsid w:val="002224B5"/>
    <w:rsid w:val="002231DC"/>
    <w:rsid w:val="00224973"/>
    <w:rsid w:val="002274DA"/>
    <w:rsid w:val="00230EF1"/>
    <w:rsid w:val="00235CA9"/>
    <w:rsid w:val="00235D25"/>
    <w:rsid w:val="00242867"/>
    <w:rsid w:val="00244BBA"/>
    <w:rsid w:val="002454E5"/>
    <w:rsid w:val="002467EE"/>
    <w:rsid w:val="00246AB7"/>
    <w:rsid w:val="00251597"/>
    <w:rsid w:val="00252B3B"/>
    <w:rsid w:val="00254649"/>
    <w:rsid w:val="00256066"/>
    <w:rsid w:val="00260290"/>
    <w:rsid w:val="00264A4D"/>
    <w:rsid w:val="0026546D"/>
    <w:rsid w:val="00265952"/>
    <w:rsid w:val="00270B69"/>
    <w:rsid w:val="002739FF"/>
    <w:rsid w:val="00273B8E"/>
    <w:rsid w:val="00282503"/>
    <w:rsid w:val="00284D2D"/>
    <w:rsid w:val="00284DA5"/>
    <w:rsid w:val="002860D0"/>
    <w:rsid w:val="002902D6"/>
    <w:rsid w:val="002929FF"/>
    <w:rsid w:val="00293356"/>
    <w:rsid w:val="0029401A"/>
    <w:rsid w:val="00296B64"/>
    <w:rsid w:val="002A584A"/>
    <w:rsid w:val="002A6E5A"/>
    <w:rsid w:val="002B0876"/>
    <w:rsid w:val="002B3996"/>
    <w:rsid w:val="002B408C"/>
    <w:rsid w:val="002B6AAE"/>
    <w:rsid w:val="002C1B7B"/>
    <w:rsid w:val="002C4598"/>
    <w:rsid w:val="002C5BA9"/>
    <w:rsid w:val="002C7246"/>
    <w:rsid w:val="002D0669"/>
    <w:rsid w:val="002D1AFD"/>
    <w:rsid w:val="002D38BB"/>
    <w:rsid w:val="002D464C"/>
    <w:rsid w:val="002E084C"/>
    <w:rsid w:val="002F07D1"/>
    <w:rsid w:val="002F085D"/>
    <w:rsid w:val="002F0A29"/>
    <w:rsid w:val="002F5167"/>
    <w:rsid w:val="002F5DF5"/>
    <w:rsid w:val="00301A40"/>
    <w:rsid w:val="00305228"/>
    <w:rsid w:val="00307AE7"/>
    <w:rsid w:val="003108DF"/>
    <w:rsid w:val="003119C4"/>
    <w:rsid w:val="0031297C"/>
    <w:rsid w:val="00313FB0"/>
    <w:rsid w:val="00314908"/>
    <w:rsid w:val="003174F1"/>
    <w:rsid w:val="00323296"/>
    <w:rsid w:val="00326B7F"/>
    <w:rsid w:val="00332B19"/>
    <w:rsid w:val="00333F69"/>
    <w:rsid w:val="00336112"/>
    <w:rsid w:val="00336327"/>
    <w:rsid w:val="00351A67"/>
    <w:rsid w:val="00351B0E"/>
    <w:rsid w:val="0035675C"/>
    <w:rsid w:val="0035720D"/>
    <w:rsid w:val="00360467"/>
    <w:rsid w:val="003667DD"/>
    <w:rsid w:val="003714AE"/>
    <w:rsid w:val="003715E0"/>
    <w:rsid w:val="00372768"/>
    <w:rsid w:val="003730F0"/>
    <w:rsid w:val="00374030"/>
    <w:rsid w:val="00374898"/>
    <w:rsid w:val="003761BE"/>
    <w:rsid w:val="003834DD"/>
    <w:rsid w:val="003835A4"/>
    <w:rsid w:val="00384250"/>
    <w:rsid w:val="003845B2"/>
    <w:rsid w:val="00391B3D"/>
    <w:rsid w:val="00393599"/>
    <w:rsid w:val="003A0DAF"/>
    <w:rsid w:val="003A4207"/>
    <w:rsid w:val="003B22E8"/>
    <w:rsid w:val="003B44DB"/>
    <w:rsid w:val="003B5865"/>
    <w:rsid w:val="003B5D55"/>
    <w:rsid w:val="003C43C6"/>
    <w:rsid w:val="003C6FD6"/>
    <w:rsid w:val="003C714C"/>
    <w:rsid w:val="003C7477"/>
    <w:rsid w:val="003D0D7C"/>
    <w:rsid w:val="003D30B2"/>
    <w:rsid w:val="003D404B"/>
    <w:rsid w:val="003D434E"/>
    <w:rsid w:val="003E0696"/>
    <w:rsid w:val="003E2694"/>
    <w:rsid w:val="003E5506"/>
    <w:rsid w:val="003E5D1A"/>
    <w:rsid w:val="003F5D4D"/>
    <w:rsid w:val="003F698F"/>
    <w:rsid w:val="00403F91"/>
    <w:rsid w:val="004058F0"/>
    <w:rsid w:val="00405FE3"/>
    <w:rsid w:val="00407FBD"/>
    <w:rsid w:val="004102F2"/>
    <w:rsid w:val="00411EC0"/>
    <w:rsid w:val="00423DEC"/>
    <w:rsid w:val="00425BDC"/>
    <w:rsid w:val="00431024"/>
    <w:rsid w:val="00431F1E"/>
    <w:rsid w:val="004336B9"/>
    <w:rsid w:val="00440E1A"/>
    <w:rsid w:val="00443196"/>
    <w:rsid w:val="00444216"/>
    <w:rsid w:val="0044460A"/>
    <w:rsid w:val="004470A9"/>
    <w:rsid w:val="00450394"/>
    <w:rsid w:val="00450619"/>
    <w:rsid w:val="00450938"/>
    <w:rsid w:val="00451444"/>
    <w:rsid w:val="00460DEF"/>
    <w:rsid w:val="00463585"/>
    <w:rsid w:val="0046465E"/>
    <w:rsid w:val="00464E8D"/>
    <w:rsid w:val="00466CC0"/>
    <w:rsid w:val="004734F4"/>
    <w:rsid w:val="004735CC"/>
    <w:rsid w:val="00476D92"/>
    <w:rsid w:val="00480351"/>
    <w:rsid w:val="00482C5B"/>
    <w:rsid w:val="00482D7D"/>
    <w:rsid w:val="00491C9E"/>
    <w:rsid w:val="0049298A"/>
    <w:rsid w:val="0049762D"/>
    <w:rsid w:val="00497F51"/>
    <w:rsid w:val="004A5617"/>
    <w:rsid w:val="004C0568"/>
    <w:rsid w:val="004C0DB7"/>
    <w:rsid w:val="004C379F"/>
    <w:rsid w:val="004C4183"/>
    <w:rsid w:val="004D18BF"/>
    <w:rsid w:val="004D4442"/>
    <w:rsid w:val="004D7E42"/>
    <w:rsid w:val="004E159A"/>
    <w:rsid w:val="004E2715"/>
    <w:rsid w:val="004E2CA0"/>
    <w:rsid w:val="004F0144"/>
    <w:rsid w:val="004F1B6E"/>
    <w:rsid w:val="004F6558"/>
    <w:rsid w:val="004F6E36"/>
    <w:rsid w:val="004F7D37"/>
    <w:rsid w:val="004F7DE9"/>
    <w:rsid w:val="005020C4"/>
    <w:rsid w:val="0050299C"/>
    <w:rsid w:val="00503038"/>
    <w:rsid w:val="005033DF"/>
    <w:rsid w:val="0050447C"/>
    <w:rsid w:val="00505113"/>
    <w:rsid w:val="0050623E"/>
    <w:rsid w:val="00510E34"/>
    <w:rsid w:val="00514AFF"/>
    <w:rsid w:val="00520836"/>
    <w:rsid w:val="0052419F"/>
    <w:rsid w:val="00524BC5"/>
    <w:rsid w:val="00526CC8"/>
    <w:rsid w:val="00527271"/>
    <w:rsid w:val="00527915"/>
    <w:rsid w:val="0053224D"/>
    <w:rsid w:val="00532553"/>
    <w:rsid w:val="00534B35"/>
    <w:rsid w:val="00540325"/>
    <w:rsid w:val="00542C10"/>
    <w:rsid w:val="005432ED"/>
    <w:rsid w:val="0054337B"/>
    <w:rsid w:val="00545876"/>
    <w:rsid w:val="00546EE4"/>
    <w:rsid w:val="0055010A"/>
    <w:rsid w:val="00550C2B"/>
    <w:rsid w:val="005516D8"/>
    <w:rsid w:val="00553678"/>
    <w:rsid w:val="0055516A"/>
    <w:rsid w:val="00555E18"/>
    <w:rsid w:val="005563D6"/>
    <w:rsid w:val="00563BEF"/>
    <w:rsid w:val="00564C4F"/>
    <w:rsid w:val="00566042"/>
    <w:rsid w:val="00567D1B"/>
    <w:rsid w:val="00573F3C"/>
    <w:rsid w:val="00574B4B"/>
    <w:rsid w:val="00585949"/>
    <w:rsid w:val="005862AF"/>
    <w:rsid w:val="005873FE"/>
    <w:rsid w:val="005901D1"/>
    <w:rsid w:val="005914BF"/>
    <w:rsid w:val="00594467"/>
    <w:rsid w:val="00597DDD"/>
    <w:rsid w:val="005B193A"/>
    <w:rsid w:val="005B19B3"/>
    <w:rsid w:val="005B4B39"/>
    <w:rsid w:val="005B5FDE"/>
    <w:rsid w:val="005C01F6"/>
    <w:rsid w:val="005C15A3"/>
    <w:rsid w:val="005C49C3"/>
    <w:rsid w:val="005C4B8D"/>
    <w:rsid w:val="005C70F0"/>
    <w:rsid w:val="005C78A5"/>
    <w:rsid w:val="005D28DB"/>
    <w:rsid w:val="005D3639"/>
    <w:rsid w:val="005D7D5F"/>
    <w:rsid w:val="005F1343"/>
    <w:rsid w:val="005F1515"/>
    <w:rsid w:val="005F24F1"/>
    <w:rsid w:val="005F3AF7"/>
    <w:rsid w:val="005F4637"/>
    <w:rsid w:val="00602BE7"/>
    <w:rsid w:val="006049F3"/>
    <w:rsid w:val="0060633A"/>
    <w:rsid w:val="006072FC"/>
    <w:rsid w:val="00613400"/>
    <w:rsid w:val="00615912"/>
    <w:rsid w:val="00620273"/>
    <w:rsid w:val="00620804"/>
    <w:rsid w:val="006213D4"/>
    <w:rsid w:val="006240B1"/>
    <w:rsid w:val="006300AB"/>
    <w:rsid w:val="00631270"/>
    <w:rsid w:val="00631FEC"/>
    <w:rsid w:val="0063365F"/>
    <w:rsid w:val="00635282"/>
    <w:rsid w:val="00645CF0"/>
    <w:rsid w:val="00651AC7"/>
    <w:rsid w:val="00660E8C"/>
    <w:rsid w:val="00662D4A"/>
    <w:rsid w:val="0066379A"/>
    <w:rsid w:val="0066440D"/>
    <w:rsid w:val="00666F73"/>
    <w:rsid w:val="0067416F"/>
    <w:rsid w:val="00675AA8"/>
    <w:rsid w:val="00681586"/>
    <w:rsid w:val="00683F93"/>
    <w:rsid w:val="006944B6"/>
    <w:rsid w:val="0069597E"/>
    <w:rsid w:val="00697E97"/>
    <w:rsid w:val="006B1224"/>
    <w:rsid w:val="006B4BBF"/>
    <w:rsid w:val="006B560E"/>
    <w:rsid w:val="006B6009"/>
    <w:rsid w:val="006C2B9A"/>
    <w:rsid w:val="006C480C"/>
    <w:rsid w:val="006C6768"/>
    <w:rsid w:val="006D5849"/>
    <w:rsid w:val="006E0B2A"/>
    <w:rsid w:val="006E2087"/>
    <w:rsid w:val="006E281D"/>
    <w:rsid w:val="006F19F8"/>
    <w:rsid w:val="006F27BD"/>
    <w:rsid w:val="0070349F"/>
    <w:rsid w:val="00706551"/>
    <w:rsid w:val="00715C42"/>
    <w:rsid w:val="00720396"/>
    <w:rsid w:val="0072122B"/>
    <w:rsid w:val="007220ED"/>
    <w:rsid w:val="00727A06"/>
    <w:rsid w:val="00732524"/>
    <w:rsid w:val="0073405B"/>
    <w:rsid w:val="00735F9D"/>
    <w:rsid w:val="00736E3D"/>
    <w:rsid w:val="00740611"/>
    <w:rsid w:val="0074093C"/>
    <w:rsid w:val="007448F5"/>
    <w:rsid w:val="00750F90"/>
    <w:rsid w:val="00751E2F"/>
    <w:rsid w:val="007546C9"/>
    <w:rsid w:val="00770FBF"/>
    <w:rsid w:val="007759BC"/>
    <w:rsid w:val="007813BA"/>
    <w:rsid w:val="00782688"/>
    <w:rsid w:val="00790FF5"/>
    <w:rsid w:val="007913B9"/>
    <w:rsid w:val="007931C0"/>
    <w:rsid w:val="007A63EB"/>
    <w:rsid w:val="007A7984"/>
    <w:rsid w:val="007B328C"/>
    <w:rsid w:val="007B6792"/>
    <w:rsid w:val="007B7A98"/>
    <w:rsid w:val="007C041B"/>
    <w:rsid w:val="007C0506"/>
    <w:rsid w:val="007D0A09"/>
    <w:rsid w:val="007D2018"/>
    <w:rsid w:val="007D338B"/>
    <w:rsid w:val="007E0827"/>
    <w:rsid w:val="007E1C76"/>
    <w:rsid w:val="007E4BA9"/>
    <w:rsid w:val="007E578D"/>
    <w:rsid w:val="007E7275"/>
    <w:rsid w:val="007F142F"/>
    <w:rsid w:val="007F4C0E"/>
    <w:rsid w:val="007F69A8"/>
    <w:rsid w:val="00802822"/>
    <w:rsid w:val="00804096"/>
    <w:rsid w:val="00805AE9"/>
    <w:rsid w:val="00806123"/>
    <w:rsid w:val="00807B1C"/>
    <w:rsid w:val="008116EA"/>
    <w:rsid w:val="00815FB3"/>
    <w:rsid w:val="00823502"/>
    <w:rsid w:val="008235A2"/>
    <w:rsid w:val="00832AF7"/>
    <w:rsid w:val="00833B65"/>
    <w:rsid w:val="00836D81"/>
    <w:rsid w:val="00842370"/>
    <w:rsid w:val="00844435"/>
    <w:rsid w:val="00844586"/>
    <w:rsid w:val="00844E57"/>
    <w:rsid w:val="008466E5"/>
    <w:rsid w:val="00846C50"/>
    <w:rsid w:val="00850EFB"/>
    <w:rsid w:val="00853AFA"/>
    <w:rsid w:val="0086162A"/>
    <w:rsid w:val="008618CD"/>
    <w:rsid w:val="00862F1A"/>
    <w:rsid w:val="0086350C"/>
    <w:rsid w:val="00864874"/>
    <w:rsid w:val="008675E4"/>
    <w:rsid w:val="00872341"/>
    <w:rsid w:val="00874201"/>
    <w:rsid w:val="008756CA"/>
    <w:rsid w:val="008809DF"/>
    <w:rsid w:val="00880DB8"/>
    <w:rsid w:val="0088215B"/>
    <w:rsid w:val="008846EB"/>
    <w:rsid w:val="008865A0"/>
    <w:rsid w:val="00890801"/>
    <w:rsid w:val="008908C0"/>
    <w:rsid w:val="008972C3"/>
    <w:rsid w:val="008A1397"/>
    <w:rsid w:val="008A4CB1"/>
    <w:rsid w:val="008A50A6"/>
    <w:rsid w:val="008B0B12"/>
    <w:rsid w:val="008B56CA"/>
    <w:rsid w:val="008B7105"/>
    <w:rsid w:val="008C59CA"/>
    <w:rsid w:val="008C73C9"/>
    <w:rsid w:val="008D1AD8"/>
    <w:rsid w:val="008D2D0D"/>
    <w:rsid w:val="008E21D9"/>
    <w:rsid w:val="008E4E40"/>
    <w:rsid w:val="008F04D1"/>
    <w:rsid w:val="008F52B0"/>
    <w:rsid w:val="009019EF"/>
    <w:rsid w:val="00901EDC"/>
    <w:rsid w:val="009034D4"/>
    <w:rsid w:val="00905836"/>
    <w:rsid w:val="00910835"/>
    <w:rsid w:val="00910B0D"/>
    <w:rsid w:val="009139C2"/>
    <w:rsid w:val="00921F8F"/>
    <w:rsid w:val="00924FEB"/>
    <w:rsid w:val="00931D4A"/>
    <w:rsid w:val="00933A5B"/>
    <w:rsid w:val="00934F88"/>
    <w:rsid w:val="00940B89"/>
    <w:rsid w:val="009418FB"/>
    <w:rsid w:val="0094290F"/>
    <w:rsid w:val="00944DCA"/>
    <w:rsid w:val="00945774"/>
    <w:rsid w:val="0094780F"/>
    <w:rsid w:val="00952BE1"/>
    <w:rsid w:val="00952DF3"/>
    <w:rsid w:val="009564DE"/>
    <w:rsid w:val="00956E4E"/>
    <w:rsid w:val="009615D0"/>
    <w:rsid w:val="00962727"/>
    <w:rsid w:val="00963E45"/>
    <w:rsid w:val="0096701B"/>
    <w:rsid w:val="0097196A"/>
    <w:rsid w:val="009727E1"/>
    <w:rsid w:val="00974BD5"/>
    <w:rsid w:val="009767E8"/>
    <w:rsid w:val="009900B4"/>
    <w:rsid w:val="00991F4B"/>
    <w:rsid w:val="00993F96"/>
    <w:rsid w:val="00997310"/>
    <w:rsid w:val="00997CD8"/>
    <w:rsid w:val="009B32E1"/>
    <w:rsid w:val="009B529D"/>
    <w:rsid w:val="009D3CE6"/>
    <w:rsid w:val="009D3E82"/>
    <w:rsid w:val="009D5C36"/>
    <w:rsid w:val="009F135B"/>
    <w:rsid w:val="009F1C0B"/>
    <w:rsid w:val="009F21F7"/>
    <w:rsid w:val="009F49E8"/>
    <w:rsid w:val="00A000D3"/>
    <w:rsid w:val="00A04549"/>
    <w:rsid w:val="00A05A0C"/>
    <w:rsid w:val="00A11C5C"/>
    <w:rsid w:val="00A123EA"/>
    <w:rsid w:val="00A124F5"/>
    <w:rsid w:val="00A13487"/>
    <w:rsid w:val="00A164A8"/>
    <w:rsid w:val="00A20B55"/>
    <w:rsid w:val="00A20F69"/>
    <w:rsid w:val="00A2187B"/>
    <w:rsid w:val="00A30348"/>
    <w:rsid w:val="00A312EC"/>
    <w:rsid w:val="00A3323E"/>
    <w:rsid w:val="00A338FF"/>
    <w:rsid w:val="00A42A07"/>
    <w:rsid w:val="00A43305"/>
    <w:rsid w:val="00A43BCB"/>
    <w:rsid w:val="00A45547"/>
    <w:rsid w:val="00A47391"/>
    <w:rsid w:val="00A53215"/>
    <w:rsid w:val="00A5328C"/>
    <w:rsid w:val="00A62BAF"/>
    <w:rsid w:val="00A718D9"/>
    <w:rsid w:val="00A72773"/>
    <w:rsid w:val="00A75F8F"/>
    <w:rsid w:val="00A762B9"/>
    <w:rsid w:val="00A80F35"/>
    <w:rsid w:val="00A81A5C"/>
    <w:rsid w:val="00A83BE5"/>
    <w:rsid w:val="00A83E3C"/>
    <w:rsid w:val="00A85752"/>
    <w:rsid w:val="00A91099"/>
    <w:rsid w:val="00A93A76"/>
    <w:rsid w:val="00A96C7F"/>
    <w:rsid w:val="00A97EB5"/>
    <w:rsid w:val="00AA0C2B"/>
    <w:rsid w:val="00AA120D"/>
    <w:rsid w:val="00AA3202"/>
    <w:rsid w:val="00AB3BF4"/>
    <w:rsid w:val="00AB3C5D"/>
    <w:rsid w:val="00AB3D09"/>
    <w:rsid w:val="00AB4121"/>
    <w:rsid w:val="00AC481C"/>
    <w:rsid w:val="00AC7BAF"/>
    <w:rsid w:val="00AD3DA0"/>
    <w:rsid w:val="00AE1AE4"/>
    <w:rsid w:val="00AE295C"/>
    <w:rsid w:val="00AF5F8C"/>
    <w:rsid w:val="00AF66FA"/>
    <w:rsid w:val="00B01BC6"/>
    <w:rsid w:val="00B04658"/>
    <w:rsid w:val="00B06A34"/>
    <w:rsid w:val="00B1707A"/>
    <w:rsid w:val="00B173F7"/>
    <w:rsid w:val="00B262DC"/>
    <w:rsid w:val="00B31BC3"/>
    <w:rsid w:val="00B3580C"/>
    <w:rsid w:val="00B35DBF"/>
    <w:rsid w:val="00B36ACB"/>
    <w:rsid w:val="00B37EC5"/>
    <w:rsid w:val="00B40B4A"/>
    <w:rsid w:val="00B40BBF"/>
    <w:rsid w:val="00B452DD"/>
    <w:rsid w:val="00B50B90"/>
    <w:rsid w:val="00B51752"/>
    <w:rsid w:val="00B64C16"/>
    <w:rsid w:val="00B653E3"/>
    <w:rsid w:val="00B67E66"/>
    <w:rsid w:val="00B75EDE"/>
    <w:rsid w:val="00B8194E"/>
    <w:rsid w:val="00B90992"/>
    <w:rsid w:val="00B952E3"/>
    <w:rsid w:val="00B95988"/>
    <w:rsid w:val="00BA75DB"/>
    <w:rsid w:val="00BB0E75"/>
    <w:rsid w:val="00BB2E6B"/>
    <w:rsid w:val="00BB4354"/>
    <w:rsid w:val="00BC3017"/>
    <w:rsid w:val="00BD2034"/>
    <w:rsid w:val="00BD48EB"/>
    <w:rsid w:val="00BD6E42"/>
    <w:rsid w:val="00BE373E"/>
    <w:rsid w:val="00BE6B93"/>
    <w:rsid w:val="00BF3057"/>
    <w:rsid w:val="00BF320E"/>
    <w:rsid w:val="00C057E7"/>
    <w:rsid w:val="00C05DC7"/>
    <w:rsid w:val="00C06027"/>
    <w:rsid w:val="00C07507"/>
    <w:rsid w:val="00C07689"/>
    <w:rsid w:val="00C100CF"/>
    <w:rsid w:val="00C110F3"/>
    <w:rsid w:val="00C112EE"/>
    <w:rsid w:val="00C12090"/>
    <w:rsid w:val="00C12CA5"/>
    <w:rsid w:val="00C12D35"/>
    <w:rsid w:val="00C16159"/>
    <w:rsid w:val="00C2310D"/>
    <w:rsid w:val="00C24C92"/>
    <w:rsid w:val="00C266DD"/>
    <w:rsid w:val="00C36B47"/>
    <w:rsid w:val="00C45A24"/>
    <w:rsid w:val="00C468C0"/>
    <w:rsid w:val="00C525C8"/>
    <w:rsid w:val="00C55633"/>
    <w:rsid w:val="00C633FF"/>
    <w:rsid w:val="00C73F69"/>
    <w:rsid w:val="00C81DA0"/>
    <w:rsid w:val="00CA0050"/>
    <w:rsid w:val="00CA024F"/>
    <w:rsid w:val="00CA5405"/>
    <w:rsid w:val="00CA55BE"/>
    <w:rsid w:val="00CB2D40"/>
    <w:rsid w:val="00CB7141"/>
    <w:rsid w:val="00CB72F8"/>
    <w:rsid w:val="00CD23C8"/>
    <w:rsid w:val="00CD35AC"/>
    <w:rsid w:val="00CD39CE"/>
    <w:rsid w:val="00CE4E6D"/>
    <w:rsid w:val="00CE63EC"/>
    <w:rsid w:val="00CF079A"/>
    <w:rsid w:val="00CF5255"/>
    <w:rsid w:val="00CF5D5D"/>
    <w:rsid w:val="00D00E79"/>
    <w:rsid w:val="00D01480"/>
    <w:rsid w:val="00D031F2"/>
    <w:rsid w:val="00D07B82"/>
    <w:rsid w:val="00D1098D"/>
    <w:rsid w:val="00D131AB"/>
    <w:rsid w:val="00D14627"/>
    <w:rsid w:val="00D15E68"/>
    <w:rsid w:val="00D167D5"/>
    <w:rsid w:val="00D248AD"/>
    <w:rsid w:val="00D25ABE"/>
    <w:rsid w:val="00D26CFB"/>
    <w:rsid w:val="00D279DB"/>
    <w:rsid w:val="00D312CF"/>
    <w:rsid w:val="00D31433"/>
    <w:rsid w:val="00D33A5E"/>
    <w:rsid w:val="00D349BD"/>
    <w:rsid w:val="00D361A5"/>
    <w:rsid w:val="00D4414A"/>
    <w:rsid w:val="00D4503E"/>
    <w:rsid w:val="00D53213"/>
    <w:rsid w:val="00D55661"/>
    <w:rsid w:val="00D55B0E"/>
    <w:rsid w:val="00D5696F"/>
    <w:rsid w:val="00D65297"/>
    <w:rsid w:val="00D66B7D"/>
    <w:rsid w:val="00D67AEC"/>
    <w:rsid w:val="00D70A1F"/>
    <w:rsid w:val="00D7297E"/>
    <w:rsid w:val="00D72AC2"/>
    <w:rsid w:val="00D75C1E"/>
    <w:rsid w:val="00D768FC"/>
    <w:rsid w:val="00D8081F"/>
    <w:rsid w:val="00D87D25"/>
    <w:rsid w:val="00D91864"/>
    <w:rsid w:val="00D91F05"/>
    <w:rsid w:val="00D939B7"/>
    <w:rsid w:val="00DA1BA4"/>
    <w:rsid w:val="00DA2272"/>
    <w:rsid w:val="00DA271A"/>
    <w:rsid w:val="00DA3AE2"/>
    <w:rsid w:val="00DA3D7E"/>
    <w:rsid w:val="00DB6AEC"/>
    <w:rsid w:val="00DB7953"/>
    <w:rsid w:val="00DC438E"/>
    <w:rsid w:val="00DC75DF"/>
    <w:rsid w:val="00DC7AC4"/>
    <w:rsid w:val="00DD05A1"/>
    <w:rsid w:val="00DD0BB6"/>
    <w:rsid w:val="00DD2443"/>
    <w:rsid w:val="00DD3060"/>
    <w:rsid w:val="00DD4F8D"/>
    <w:rsid w:val="00DD7F2A"/>
    <w:rsid w:val="00DE0ABA"/>
    <w:rsid w:val="00DE42CF"/>
    <w:rsid w:val="00DE441F"/>
    <w:rsid w:val="00DE5D45"/>
    <w:rsid w:val="00DF1E57"/>
    <w:rsid w:val="00DF3881"/>
    <w:rsid w:val="00E0358A"/>
    <w:rsid w:val="00E03DB4"/>
    <w:rsid w:val="00E10D19"/>
    <w:rsid w:val="00E13F2C"/>
    <w:rsid w:val="00E20E40"/>
    <w:rsid w:val="00E21870"/>
    <w:rsid w:val="00E26B23"/>
    <w:rsid w:val="00E309AF"/>
    <w:rsid w:val="00E37A04"/>
    <w:rsid w:val="00E37C27"/>
    <w:rsid w:val="00E42302"/>
    <w:rsid w:val="00E44444"/>
    <w:rsid w:val="00E53131"/>
    <w:rsid w:val="00E551A0"/>
    <w:rsid w:val="00E60493"/>
    <w:rsid w:val="00E616A9"/>
    <w:rsid w:val="00E61EA6"/>
    <w:rsid w:val="00E63ADC"/>
    <w:rsid w:val="00E655D2"/>
    <w:rsid w:val="00E66569"/>
    <w:rsid w:val="00E72300"/>
    <w:rsid w:val="00E72FB1"/>
    <w:rsid w:val="00E81FA7"/>
    <w:rsid w:val="00E85149"/>
    <w:rsid w:val="00E8682C"/>
    <w:rsid w:val="00E871DA"/>
    <w:rsid w:val="00E906F3"/>
    <w:rsid w:val="00E93F1E"/>
    <w:rsid w:val="00E9626D"/>
    <w:rsid w:val="00E96CA1"/>
    <w:rsid w:val="00EA05ED"/>
    <w:rsid w:val="00EA236F"/>
    <w:rsid w:val="00EA29E4"/>
    <w:rsid w:val="00EA2EEB"/>
    <w:rsid w:val="00EA3DB1"/>
    <w:rsid w:val="00EA6EB0"/>
    <w:rsid w:val="00EB0A60"/>
    <w:rsid w:val="00EB47BD"/>
    <w:rsid w:val="00EB4A20"/>
    <w:rsid w:val="00EB4E25"/>
    <w:rsid w:val="00EB6003"/>
    <w:rsid w:val="00EC0604"/>
    <w:rsid w:val="00ED0517"/>
    <w:rsid w:val="00ED1A93"/>
    <w:rsid w:val="00ED3121"/>
    <w:rsid w:val="00ED4699"/>
    <w:rsid w:val="00ED4C97"/>
    <w:rsid w:val="00EE10AF"/>
    <w:rsid w:val="00EE1A68"/>
    <w:rsid w:val="00EE3753"/>
    <w:rsid w:val="00EE5AF8"/>
    <w:rsid w:val="00EF06A9"/>
    <w:rsid w:val="00EF7C4D"/>
    <w:rsid w:val="00F034E6"/>
    <w:rsid w:val="00F068B3"/>
    <w:rsid w:val="00F11126"/>
    <w:rsid w:val="00F1171A"/>
    <w:rsid w:val="00F11AAF"/>
    <w:rsid w:val="00F1400F"/>
    <w:rsid w:val="00F15399"/>
    <w:rsid w:val="00F174C4"/>
    <w:rsid w:val="00F2497D"/>
    <w:rsid w:val="00F27280"/>
    <w:rsid w:val="00F35532"/>
    <w:rsid w:val="00F54DA7"/>
    <w:rsid w:val="00F56A02"/>
    <w:rsid w:val="00F57C79"/>
    <w:rsid w:val="00F633F3"/>
    <w:rsid w:val="00F76D7A"/>
    <w:rsid w:val="00F81000"/>
    <w:rsid w:val="00F85F8C"/>
    <w:rsid w:val="00F90269"/>
    <w:rsid w:val="00F9140B"/>
    <w:rsid w:val="00F9372F"/>
    <w:rsid w:val="00FA64EE"/>
    <w:rsid w:val="00FB22B9"/>
    <w:rsid w:val="00FB377C"/>
    <w:rsid w:val="00FB4754"/>
    <w:rsid w:val="00FB4D13"/>
    <w:rsid w:val="00FC3381"/>
    <w:rsid w:val="00FC423D"/>
    <w:rsid w:val="00FC661B"/>
    <w:rsid w:val="00FD2055"/>
    <w:rsid w:val="00FD71BF"/>
    <w:rsid w:val="00FD7E34"/>
    <w:rsid w:val="00FE4017"/>
    <w:rsid w:val="00FE5706"/>
    <w:rsid w:val="00FE712E"/>
    <w:rsid w:val="00FE7E54"/>
    <w:rsid w:val="00FE7F59"/>
    <w:rsid w:val="00FF0D7F"/>
    <w:rsid w:val="00FF3DEE"/>
    <w:rsid w:val="00FF5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40E8"/>
  <w15:chartTrackingRefBased/>
  <w15:docId w15:val="{4B653218-2B89-490C-990F-AC187B72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92"/>
  </w:style>
  <w:style w:type="paragraph" w:styleId="Heading1">
    <w:name w:val="heading 1"/>
    <w:basedOn w:val="Normal"/>
    <w:next w:val="Normal"/>
    <w:link w:val="Heading1Char"/>
    <w:uiPriority w:val="9"/>
    <w:qFormat/>
    <w:rsid w:val="00C468C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C468C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C468C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C468C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C468C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C468C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C468C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468C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C468C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C0"/>
    <w:rPr>
      <w:rFonts w:asciiTheme="majorHAnsi" w:eastAsiaTheme="majorEastAsia" w:hAnsiTheme="majorHAnsi" w:cstheme="majorBidi"/>
      <w:color w:val="538135" w:themeColor="accent6" w:themeShade="BF"/>
      <w:sz w:val="40"/>
      <w:szCs w:val="40"/>
    </w:rPr>
  </w:style>
  <w:style w:type="paragraph" w:styleId="Title">
    <w:name w:val="Title"/>
    <w:basedOn w:val="Normal"/>
    <w:next w:val="Normal"/>
    <w:link w:val="TitleChar"/>
    <w:uiPriority w:val="10"/>
    <w:qFormat/>
    <w:rsid w:val="00C468C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468C0"/>
    <w:rPr>
      <w:rFonts w:asciiTheme="majorHAnsi" w:eastAsiaTheme="majorEastAsia" w:hAnsiTheme="majorHAnsi" w:cstheme="majorBidi"/>
      <w:color w:val="262626" w:themeColor="text1" w:themeTint="D9"/>
      <w:spacing w:val="-15"/>
      <w:sz w:val="96"/>
      <w:szCs w:val="96"/>
    </w:rPr>
  </w:style>
  <w:style w:type="table" w:styleId="TableGrid">
    <w:name w:val="Table Grid"/>
    <w:basedOn w:val="TableNormal"/>
    <w:uiPriority w:val="39"/>
    <w:rsid w:val="00E4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68C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C468C0"/>
    <w:rPr>
      <w:rFonts w:asciiTheme="majorHAnsi" w:eastAsiaTheme="majorEastAsia" w:hAnsiTheme="majorHAnsi" w:cstheme="majorBidi"/>
      <w:color w:val="538135" w:themeColor="accent6" w:themeShade="BF"/>
      <w:sz w:val="24"/>
      <w:szCs w:val="24"/>
    </w:rPr>
  </w:style>
  <w:style w:type="character" w:customStyle="1" w:styleId="markedcontent">
    <w:name w:val="markedcontent"/>
    <w:basedOn w:val="DefaultParagraphFont"/>
    <w:rsid w:val="009564DE"/>
  </w:style>
  <w:style w:type="paragraph" w:styleId="ListParagraph">
    <w:name w:val="List Paragraph"/>
    <w:basedOn w:val="Normal"/>
    <w:uiPriority w:val="34"/>
    <w:qFormat/>
    <w:rsid w:val="009564DE"/>
    <w:pPr>
      <w:ind w:left="720"/>
      <w:contextualSpacing/>
    </w:pPr>
  </w:style>
  <w:style w:type="character" w:styleId="CommentReference">
    <w:name w:val="annotation reference"/>
    <w:basedOn w:val="DefaultParagraphFont"/>
    <w:uiPriority w:val="99"/>
    <w:semiHidden/>
    <w:unhideWhenUsed/>
    <w:rsid w:val="009564DE"/>
    <w:rPr>
      <w:sz w:val="16"/>
      <w:szCs w:val="16"/>
    </w:rPr>
  </w:style>
  <w:style w:type="paragraph" w:styleId="CommentText">
    <w:name w:val="annotation text"/>
    <w:basedOn w:val="Normal"/>
    <w:link w:val="CommentTextChar"/>
    <w:uiPriority w:val="99"/>
    <w:semiHidden/>
    <w:unhideWhenUsed/>
    <w:rsid w:val="009564DE"/>
    <w:pPr>
      <w:spacing w:line="240" w:lineRule="auto"/>
    </w:pPr>
    <w:rPr>
      <w:sz w:val="20"/>
      <w:szCs w:val="20"/>
    </w:rPr>
  </w:style>
  <w:style w:type="character" w:customStyle="1" w:styleId="CommentTextChar">
    <w:name w:val="Comment Text Char"/>
    <w:basedOn w:val="DefaultParagraphFont"/>
    <w:link w:val="CommentText"/>
    <w:uiPriority w:val="99"/>
    <w:semiHidden/>
    <w:rsid w:val="009564DE"/>
    <w:rPr>
      <w:sz w:val="20"/>
      <w:szCs w:val="20"/>
    </w:rPr>
  </w:style>
  <w:style w:type="paragraph" w:styleId="CommentSubject">
    <w:name w:val="annotation subject"/>
    <w:basedOn w:val="CommentText"/>
    <w:next w:val="CommentText"/>
    <w:link w:val="CommentSubjectChar"/>
    <w:uiPriority w:val="99"/>
    <w:semiHidden/>
    <w:unhideWhenUsed/>
    <w:rsid w:val="009564DE"/>
    <w:rPr>
      <w:b/>
      <w:bCs/>
    </w:rPr>
  </w:style>
  <w:style w:type="character" w:customStyle="1" w:styleId="CommentSubjectChar">
    <w:name w:val="Comment Subject Char"/>
    <w:basedOn w:val="CommentTextChar"/>
    <w:link w:val="CommentSubject"/>
    <w:uiPriority w:val="99"/>
    <w:semiHidden/>
    <w:rsid w:val="009564DE"/>
    <w:rPr>
      <w:b/>
      <w:bCs/>
      <w:sz w:val="20"/>
      <w:szCs w:val="20"/>
    </w:rPr>
  </w:style>
  <w:style w:type="paragraph" w:styleId="Header">
    <w:name w:val="header"/>
    <w:basedOn w:val="Normal"/>
    <w:link w:val="HeaderChar"/>
    <w:uiPriority w:val="99"/>
    <w:unhideWhenUsed/>
    <w:rsid w:val="00D67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AEC"/>
  </w:style>
  <w:style w:type="paragraph" w:styleId="Footer">
    <w:name w:val="footer"/>
    <w:basedOn w:val="Normal"/>
    <w:link w:val="FooterChar"/>
    <w:uiPriority w:val="99"/>
    <w:unhideWhenUsed/>
    <w:rsid w:val="00D67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AEC"/>
  </w:style>
  <w:style w:type="paragraph" w:styleId="TOC1">
    <w:name w:val="toc 1"/>
    <w:basedOn w:val="Normal"/>
    <w:next w:val="Normal"/>
    <w:autoRedefine/>
    <w:uiPriority w:val="39"/>
    <w:unhideWhenUsed/>
    <w:rsid w:val="007546C9"/>
    <w:pPr>
      <w:spacing w:after="100"/>
    </w:pPr>
  </w:style>
  <w:style w:type="paragraph" w:styleId="TOC2">
    <w:name w:val="toc 2"/>
    <w:basedOn w:val="Normal"/>
    <w:next w:val="Normal"/>
    <w:autoRedefine/>
    <w:uiPriority w:val="39"/>
    <w:unhideWhenUsed/>
    <w:rsid w:val="007546C9"/>
    <w:pPr>
      <w:spacing w:after="100"/>
      <w:ind w:left="220"/>
    </w:pPr>
  </w:style>
  <w:style w:type="character" w:styleId="Hyperlink">
    <w:name w:val="Hyperlink"/>
    <w:basedOn w:val="DefaultParagraphFont"/>
    <w:uiPriority w:val="99"/>
    <w:unhideWhenUsed/>
    <w:rsid w:val="007546C9"/>
    <w:rPr>
      <w:color w:val="0563C1" w:themeColor="hyperlink"/>
      <w:u w:val="single"/>
    </w:rPr>
  </w:style>
  <w:style w:type="character" w:styleId="UnresolvedMention">
    <w:name w:val="Unresolved Mention"/>
    <w:basedOn w:val="DefaultParagraphFont"/>
    <w:uiPriority w:val="99"/>
    <w:semiHidden/>
    <w:unhideWhenUsed/>
    <w:rsid w:val="005F24F1"/>
    <w:rPr>
      <w:color w:val="605E5C"/>
      <w:shd w:val="clear" w:color="auto" w:fill="E1DFDD"/>
    </w:rPr>
  </w:style>
  <w:style w:type="paragraph" w:styleId="Subtitle">
    <w:name w:val="Subtitle"/>
    <w:basedOn w:val="Normal"/>
    <w:next w:val="Normal"/>
    <w:link w:val="SubtitleChar"/>
    <w:uiPriority w:val="11"/>
    <w:qFormat/>
    <w:rsid w:val="00C468C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468C0"/>
    <w:rPr>
      <w:rFonts w:asciiTheme="majorHAnsi" w:eastAsiaTheme="majorEastAsia" w:hAnsiTheme="majorHAnsi" w:cstheme="majorBidi"/>
      <w:sz w:val="30"/>
      <w:szCs w:val="30"/>
    </w:rPr>
  </w:style>
  <w:style w:type="paragraph" w:customStyle="1" w:styleId="Default">
    <w:name w:val="Default"/>
    <w:rsid w:val="00823502"/>
    <w:pPr>
      <w:autoSpaceDE w:val="0"/>
      <w:autoSpaceDN w:val="0"/>
      <w:adjustRightInd w:val="0"/>
      <w:spacing w:after="0" w:line="240" w:lineRule="auto"/>
    </w:pPr>
    <w:rPr>
      <w:rFonts w:ascii="VIC" w:hAnsi="VIC" w:cs="VIC"/>
      <w:color w:val="000000"/>
      <w:sz w:val="24"/>
      <w:szCs w:val="24"/>
    </w:rPr>
  </w:style>
  <w:style w:type="paragraph" w:customStyle="1" w:styleId="Tabletext">
    <w:name w:val="Table text"/>
    <w:basedOn w:val="Normal"/>
    <w:rsid w:val="006B6009"/>
    <w:pPr>
      <w:autoSpaceDE w:val="0"/>
      <w:autoSpaceDN w:val="0"/>
      <w:adjustRightInd w:val="0"/>
      <w:spacing w:before="60" w:after="60" w:line="240" w:lineRule="auto"/>
      <w:textAlignment w:val="center"/>
    </w:pPr>
    <w:rPr>
      <w:rFonts w:ascii="Arial" w:hAnsi="Arial" w:cs="Arial"/>
      <w:color w:val="000000"/>
      <w:sz w:val="18"/>
      <w:szCs w:val="18"/>
      <w:lang w:val="en-US"/>
    </w:rPr>
  </w:style>
  <w:style w:type="character" w:customStyle="1" w:styleId="Heading4Char">
    <w:name w:val="Heading 4 Char"/>
    <w:basedOn w:val="DefaultParagraphFont"/>
    <w:link w:val="Heading4"/>
    <w:uiPriority w:val="9"/>
    <w:rsid w:val="00C468C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C468C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C468C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C468C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C468C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C468C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C468C0"/>
    <w:pPr>
      <w:spacing w:line="240" w:lineRule="auto"/>
    </w:pPr>
    <w:rPr>
      <w:b/>
      <w:bCs/>
      <w:smallCaps/>
      <w:color w:val="595959" w:themeColor="text1" w:themeTint="A6"/>
    </w:rPr>
  </w:style>
  <w:style w:type="character" w:styleId="Strong">
    <w:name w:val="Strong"/>
    <w:basedOn w:val="DefaultParagraphFont"/>
    <w:uiPriority w:val="22"/>
    <w:qFormat/>
    <w:rsid w:val="00C468C0"/>
    <w:rPr>
      <w:b/>
      <w:bCs/>
    </w:rPr>
  </w:style>
  <w:style w:type="character" w:styleId="Emphasis">
    <w:name w:val="Emphasis"/>
    <w:basedOn w:val="DefaultParagraphFont"/>
    <w:uiPriority w:val="20"/>
    <w:qFormat/>
    <w:rsid w:val="00C468C0"/>
    <w:rPr>
      <w:i/>
      <w:iCs/>
      <w:color w:val="70AD47" w:themeColor="accent6"/>
    </w:rPr>
  </w:style>
  <w:style w:type="paragraph" w:styleId="NoSpacing">
    <w:name w:val="No Spacing"/>
    <w:uiPriority w:val="1"/>
    <w:qFormat/>
    <w:rsid w:val="00C468C0"/>
    <w:pPr>
      <w:spacing w:after="0" w:line="240" w:lineRule="auto"/>
    </w:pPr>
  </w:style>
  <w:style w:type="paragraph" w:styleId="Quote">
    <w:name w:val="Quote"/>
    <w:basedOn w:val="Normal"/>
    <w:next w:val="Normal"/>
    <w:link w:val="QuoteChar"/>
    <w:uiPriority w:val="29"/>
    <w:qFormat/>
    <w:rsid w:val="00C468C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468C0"/>
    <w:rPr>
      <w:i/>
      <w:iCs/>
      <w:color w:val="262626" w:themeColor="text1" w:themeTint="D9"/>
    </w:rPr>
  </w:style>
  <w:style w:type="paragraph" w:styleId="IntenseQuote">
    <w:name w:val="Intense Quote"/>
    <w:basedOn w:val="Normal"/>
    <w:next w:val="Normal"/>
    <w:link w:val="IntenseQuoteChar"/>
    <w:uiPriority w:val="30"/>
    <w:qFormat/>
    <w:rsid w:val="00C468C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468C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C468C0"/>
    <w:rPr>
      <w:i/>
      <w:iCs/>
    </w:rPr>
  </w:style>
  <w:style w:type="character" w:styleId="IntenseEmphasis">
    <w:name w:val="Intense Emphasis"/>
    <w:basedOn w:val="DefaultParagraphFont"/>
    <w:uiPriority w:val="21"/>
    <w:qFormat/>
    <w:rsid w:val="00C468C0"/>
    <w:rPr>
      <w:b/>
      <w:bCs/>
      <w:i/>
      <w:iCs/>
    </w:rPr>
  </w:style>
  <w:style w:type="character" w:styleId="SubtleReference">
    <w:name w:val="Subtle Reference"/>
    <w:basedOn w:val="DefaultParagraphFont"/>
    <w:uiPriority w:val="31"/>
    <w:qFormat/>
    <w:rsid w:val="00C468C0"/>
    <w:rPr>
      <w:smallCaps/>
      <w:color w:val="595959" w:themeColor="text1" w:themeTint="A6"/>
    </w:rPr>
  </w:style>
  <w:style w:type="character" w:styleId="IntenseReference">
    <w:name w:val="Intense Reference"/>
    <w:basedOn w:val="DefaultParagraphFont"/>
    <w:uiPriority w:val="32"/>
    <w:qFormat/>
    <w:rsid w:val="00C468C0"/>
    <w:rPr>
      <w:b/>
      <w:bCs/>
      <w:smallCaps/>
      <w:color w:val="70AD47" w:themeColor="accent6"/>
    </w:rPr>
  </w:style>
  <w:style w:type="character" w:styleId="BookTitle">
    <w:name w:val="Book Title"/>
    <w:basedOn w:val="DefaultParagraphFont"/>
    <w:uiPriority w:val="33"/>
    <w:qFormat/>
    <w:rsid w:val="00C468C0"/>
    <w:rPr>
      <w:b/>
      <w:bCs/>
      <w:caps w:val="0"/>
      <w:smallCaps/>
      <w:spacing w:val="7"/>
      <w:sz w:val="21"/>
      <w:szCs w:val="21"/>
    </w:rPr>
  </w:style>
  <w:style w:type="paragraph" w:styleId="TOCHeading">
    <w:name w:val="TOC Heading"/>
    <w:basedOn w:val="Heading1"/>
    <w:next w:val="Normal"/>
    <w:uiPriority w:val="39"/>
    <w:semiHidden/>
    <w:unhideWhenUsed/>
    <w:qFormat/>
    <w:rsid w:val="00C468C0"/>
    <w:pPr>
      <w:outlineLvl w:val="9"/>
    </w:pPr>
  </w:style>
  <w:style w:type="character" w:styleId="FollowedHyperlink">
    <w:name w:val="FollowedHyperlink"/>
    <w:basedOn w:val="DefaultParagraphFont"/>
    <w:uiPriority w:val="99"/>
    <w:semiHidden/>
    <w:unhideWhenUsed/>
    <w:rsid w:val="00D33A5E"/>
    <w:rPr>
      <w:color w:val="954F72" w:themeColor="followedHyperlink"/>
      <w:u w:val="single"/>
    </w:rPr>
  </w:style>
  <w:style w:type="paragraph" w:styleId="Revision">
    <w:name w:val="Revision"/>
    <w:hidden/>
    <w:uiPriority w:val="99"/>
    <w:semiHidden/>
    <w:rsid w:val="00524BC5"/>
    <w:pPr>
      <w:spacing w:after="0" w:line="240" w:lineRule="auto"/>
    </w:pPr>
  </w:style>
  <w:style w:type="paragraph" w:styleId="NormalWeb">
    <w:name w:val="Normal (Web)"/>
    <w:basedOn w:val="Normal"/>
    <w:uiPriority w:val="99"/>
    <w:semiHidden/>
    <w:unhideWhenUsed/>
    <w:rsid w:val="00645CF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53372">
      <w:bodyDiv w:val="1"/>
      <w:marLeft w:val="0"/>
      <w:marRight w:val="0"/>
      <w:marTop w:val="0"/>
      <w:marBottom w:val="0"/>
      <w:divBdr>
        <w:top w:val="none" w:sz="0" w:space="0" w:color="auto"/>
        <w:left w:val="none" w:sz="0" w:space="0" w:color="auto"/>
        <w:bottom w:val="none" w:sz="0" w:space="0" w:color="auto"/>
        <w:right w:val="none" w:sz="0" w:space="0" w:color="auto"/>
      </w:divBdr>
    </w:div>
    <w:div w:id="194316808">
      <w:bodyDiv w:val="1"/>
      <w:marLeft w:val="0"/>
      <w:marRight w:val="0"/>
      <w:marTop w:val="0"/>
      <w:marBottom w:val="0"/>
      <w:divBdr>
        <w:top w:val="none" w:sz="0" w:space="0" w:color="auto"/>
        <w:left w:val="none" w:sz="0" w:space="0" w:color="auto"/>
        <w:bottom w:val="none" w:sz="0" w:space="0" w:color="auto"/>
        <w:right w:val="none" w:sz="0" w:space="0" w:color="auto"/>
      </w:divBdr>
    </w:div>
    <w:div w:id="219941548">
      <w:bodyDiv w:val="1"/>
      <w:marLeft w:val="0"/>
      <w:marRight w:val="0"/>
      <w:marTop w:val="0"/>
      <w:marBottom w:val="0"/>
      <w:divBdr>
        <w:top w:val="none" w:sz="0" w:space="0" w:color="auto"/>
        <w:left w:val="none" w:sz="0" w:space="0" w:color="auto"/>
        <w:bottom w:val="none" w:sz="0" w:space="0" w:color="auto"/>
        <w:right w:val="none" w:sz="0" w:space="0" w:color="auto"/>
      </w:divBdr>
    </w:div>
    <w:div w:id="611473889">
      <w:bodyDiv w:val="1"/>
      <w:marLeft w:val="0"/>
      <w:marRight w:val="0"/>
      <w:marTop w:val="0"/>
      <w:marBottom w:val="0"/>
      <w:divBdr>
        <w:top w:val="none" w:sz="0" w:space="0" w:color="auto"/>
        <w:left w:val="none" w:sz="0" w:space="0" w:color="auto"/>
        <w:bottom w:val="none" w:sz="0" w:space="0" w:color="auto"/>
        <w:right w:val="none" w:sz="0" w:space="0" w:color="auto"/>
      </w:divBdr>
    </w:div>
    <w:div w:id="868689914">
      <w:bodyDiv w:val="1"/>
      <w:marLeft w:val="0"/>
      <w:marRight w:val="0"/>
      <w:marTop w:val="0"/>
      <w:marBottom w:val="0"/>
      <w:divBdr>
        <w:top w:val="none" w:sz="0" w:space="0" w:color="auto"/>
        <w:left w:val="none" w:sz="0" w:space="0" w:color="auto"/>
        <w:bottom w:val="none" w:sz="0" w:space="0" w:color="auto"/>
        <w:right w:val="none" w:sz="0" w:space="0" w:color="auto"/>
      </w:divBdr>
    </w:div>
    <w:div w:id="1060177798">
      <w:bodyDiv w:val="1"/>
      <w:marLeft w:val="0"/>
      <w:marRight w:val="0"/>
      <w:marTop w:val="0"/>
      <w:marBottom w:val="0"/>
      <w:divBdr>
        <w:top w:val="none" w:sz="0" w:space="0" w:color="auto"/>
        <w:left w:val="none" w:sz="0" w:space="0" w:color="auto"/>
        <w:bottom w:val="none" w:sz="0" w:space="0" w:color="auto"/>
        <w:right w:val="none" w:sz="0" w:space="0" w:color="auto"/>
      </w:divBdr>
    </w:div>
    <w:div w:id="1129864086">
      <w:bodyDiv w:val="1"/>
      <w:marLeft w:val="0"/>
      <w:marRight w:val="0"/>
      <w:marTop w:val="0"/>
      <w:marBottom w:val="0"/>
      <w:divBdr>
        <w:top w:val="none" w:sz="0" w:space="0" w:color="auto"/>
        <w:left w:val="none" w:sz="0" w:space="0" w:color="auto"/>
        <w:bottom w:val="none" w:sz="0" w:space="0" w:color="auto"/>
        <w:right w:val="none" w:sz="0" w:space="0" w:color="auto"/>
      </w:divBdr>
    </w:div>
    <w:div w:id="1398669752">
      <w:bodyDiv w:val="1"/>
      <w:marLeft w:val="0"/>
      <w:marRight w:val="0"/>
      <w:marTop w:val="0"/>
      <w:marBottom w:val="0"/>
      <w:divBdr>
        <w:top w:val="none" w:sz="0" w:space="0" w:color="auto"/>
        <w:left w:val="none" w:sz="0" w:space="0" w:color="auto"/>
        <w:bottom w:val="none" w:sz="0" w:space="0" w:color="auto"/>
        <w:right w:val="none" w:sz="0" w:space="0" w:color="auto"/>
      </w:divBdr>
    </w:div>
    <w:div w:id="1920744675">
      <w:bodyDiv w:val="1"/>
      <w:marLeft w:val="0"/>
      <w:marRight w:val="0"/>
      <w:marTop w:val="0"/>
      <w:marBottom w:val="0"/>
      <w:divBdr>
        <w:top w:val="none" w:sz="0" w:space="0" w:color="auto"/>
        <w:left w:val="none" w:sz="0" w:space="0" w:color="auto"/>
        <w:bottom w:val="none" w:sz="0" w:space="0" w:color="auto"/>
        <w:right w:val="none" w:sz="0" w:space="0" w:color="auto"/>
      </w:divBdr>
    </w:div>
    <w:div w:id="20864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search@ecodev.vic.gov.au" TargetMode="External"/><Relationship Id="rId4" Type="http://schemas.openxmlformats.org/officeDocument/2006/relationships/webSettings" Target="webSettings.xml"/><Relationship Id="rId9" Type="http://schemas.openxmlformats.org/officeDocument/2006/relationships/hyperlink" Target="https://str.com/a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Victoria's visitor economy - latest performance results - year ending December 2022</vt:lpstr>
    </vt:vector>
  </TitlesOfParts>
  <Company/>
  <LinksUpToDate>false</LinksUpToDate>
  <CharactersWithSpaces>7348</CharactersWithSpaces>
  <SharedDoc>false</SharedDoc>
  <HLinks>
    <vt:vector size="132" baseType="variant">
      <vt:variant>
        <vt:i4>3473431</vt:i4>
      </vt:variant>
      <vt:variant>
        <vt:i4>117</vt:i4>
      </vt:variant>
      <vt:variant>
        <vt:i4>0</vt:i4>
      </vt:variant>
      <vt:variant>
        <vt:i4>5</vt:i4>
      </vt:variant>
      <vt:variant>
        <vt:lpwstr>mailto:research@ecodev.vic.gov.au</vt:lpwstr>
      </vt:variant>
      <vt:variant>
        <vt:lpwstr/>
      </vt:variant>
      <vt:variant>
        <vt:i4>3538991</vt:i4>
      </vt:variant>
      <vt:variant>
        <vt:i4>114</vt:i4>
      </vt:variant>
      <vt:variant>
        <vt:i4>0</vt:i4>
      </vt:variant>
      <vt:variant>
        <vt:i4>5</vt:i4>
      </vt:variant>
      <vt:variant>
        <vt:lpwstr>https://www.tra.gov.au/Economic-analysis/economic-value</vt:lpwstr>
      </vt:variant>
      <vt:variant>
        <vt:lpwstr/>
      </vt:variant>
      <vt:variant>
        <vt:i4>6160432</vt:i4>
      </vt:variant>
      <vt:variant>
        <vt:i4>111</vt:i4>
      </vt:variant>
      <vt:variant>
        <vt:i4>0</vt:i4>
      </vt:variant>
      <vt:variant>
        <vt:i4>5</vt:i4>
      </vt:variant>
      <vt:variant>
        <vt:lpwstr>https://www.abs.gov.au/ausstats/abs@.nsf/mf/5249.0</vt:lpwstr>
      </vt:variant>
      <vt:variant>
        <vt:lpwstr/>
      </vt:variant>
      <vt:variant>
        <vt:i4>3538991</vt:i4>
      </vt:variant>
      <vt:variant>
        <vt:i4>108</vt:i4>
      </vt:variant>
      <vt:variant>
        <vt:i4>0</vt:i4>
      </vt:variant>
      <vt:variant>
        <vt:i4>5</vt:i4>
      </vt:variant>
      <vt:variant>
        <vt:lpwstr>https://www.tra.gov.au/Economic-analysis/economic-value</vt:lpwstr>
      </vt:variant>
      <vt:variant>
        <vt:lpwstr/>
      </vt:variant>
      <vt:variant>
        <vt:i4>6488178</vt:i4>
      </vt:variant>
      <vt:variant>
        <vt:i4>105</vt:i4>
      </vt:variant>
      <vt:variant>
        <vt:i4>0</vt:i4>
      </vt:variant>
      <vt:variant>
        <vt:i4>5</vt:i4>
      </vt:variant>
      <vt:variant>
        <vt:lpwstr>https://www.abs.gov.au/statistics/economy/national-accounts/australian-national-accounts-tourism-satellite-account/latest-release</vt:lpwstr>
      </vt:variant>
      <vt:variant>
        <vt:lpwstr>methodology</vt:lpwstr>
      </vt:variant>
      <vt:variant>
        <vt:i4>1376309</vt:i4>
      </vt:variant>
      <vt:variant>
        <vt:i4>98</vt:i4>
      </vt:variant>
      <vt:variant>
        <vt:i4>0</vt:i4>
      </vt:variant>
      <vt:variant>
        <vt:i4>5</vt:i4>
      </vt:variant>
      <vt:variant>
        <vt:lpwstr/>
      </vt:variant>
      <vt:variant>
        <vt:lpwstr>_Toc136012334</vt:lpwstr>
      </vt:variant>
      <vt:variant>
        <vt:i4>1376309</vt:i4>
      </vt:variant>
      <vt:variant>
        <vt:i4>92</vt:i4>
      </vt:variant>
      <vt:variant>
        <vt:i4>0</vt:i4>
      </vt:variant>
      <vt:variant>
        <vt:i4>5</vt:i4>
      </vt:variant>
      <vt:variant>
        <vt:lpwstr/>
      </vt:variant>
      <vt:variant>
        <vt:lpwstr>_Toc136012333</vt:lpwstr>
      </vt:variant>
      <vt:variant>
        <vt:i4>1376309</vt:i4>
      </vt:variant>
      <vt:variant>
        <vt:i4>86</vt:i4>
      </vt:variant>
      <vt:variant>
        <vt:i4>0</vt:i4>
      </vt:variant>
      <vt:variant>
        <vt:i4>5</vt:i4>
      </vt:variant>
      <vt:variant>
        <vt:lpwstr/>
      </vt:variant>
      <vt:variant>
        <vt:lpwstr>_Toc136012332</vt:lpwstr>
      </vt:variant>
      <vt:variant>
        <vt:i4>1376309</vt:i4>
      </vt:variant>
      <vt:variant>
        <vt:i4>80</vt:i4>
      </vt:variant>
      <vt:variant>
        <vt:i4>0</vt:i4>
      </vt:variant>
      <vt:variant>
        <vt:i4>5</vt:i4>
      </vt:variant>
      <vt:variant>
        <vt:lpwstr/>
      </vt:variant>
      <vt:variant>
        <vt:lpwstr>_Toc136012331</vt:lpwstr>
      </vt:variant>
      <vt:variant>
        <vt:i4>1376309</vt:i4>
      </vt:variant>
      <vt:variant>
        <vt:i4>74</vt:i4>
      </vt:variant>
      <vt:variant>
        <vt:i4>0</vt:i4>
      </vt:variant>
      <vt:variant>
        <vt:i4>5</vt:i4>
      </vt:variant>
      <vt:variant>
        <vt:lpwstr/>
      </vt:variant>
      <vt:variant>
        <vt:lpwstr>_Toc136012330</vt:lpwstr>
      </vt:variant>
      <vt:variant>
        <vt:i4>1310773</vt:i4>
      </vt:variant>
      <vt:variant>
        <vt:i4>68</vt:i4>
      </vt:variant>
      <vt:variant>
        <vt:i4>0</vt:i4>
      </vt:variant>
      <vt:variant>
        <vt:i4>5</vt:i4>
      </vt:variant>
      <vt:variant>
        <vt:lpwstr/>
      </vt:variant>
      <vt:variant>
        <vt:lpwstr>_Toc136012329</vt:lpwstr>
      </vt:variant>
      <vt:variant>
        <vt:i4>1310773</vt:i4>
      </vt:variant>
      <vt:variant>
        <vt:i4>62</vt:i4>
      </vt:variant>
      <vt:variant>
        <vt:i4>0</vt:i4>
      </vt:variant>
      <vt:variant>
        <vt:i4>5</vt:i4>
      </vt:variant>
      <vt:variant>
        <vt:lpwstr/>
      </vt:variant>
      <vt:variant>
        <vt:lpwstr>_Toc136012328</vt:lpwstr>
      </vt:variant>
      <vt:variant>
        <vt:i4>1310773</vt:i4>
      </vt:variant>
      <vt:variant>
        <vt:i4>56</vt:i4>
      </vt:variant>
      <vt:variant>
        <vt:i4>0</vt:i4>
      </vt:variant>
      <vt:variant>
        <vt:i4>5</vt:i4>
      </vt:variant>
      <vt:variant>
        <vt:lpwstr/>
      </vt:variant>
      <vt:variant>
        <vt:lpwstr>_Toc136012327</vt:lpwstr>
      </vt:variant>
      <vt:variant>
        <vt:i4>1310773</vt:i4>
      </vt:variant>
      <vt:variant>
        <vt:i4>50</vt:i4>
      </vt:variant>
      <vt:variant>
        <vt:i4>0</vt:i4>
      </vt:variant>
      <vt:variant>
        <vt:i4>5</vt:i4>
      </vt:variant>
      <vt:variant>
        <vt:lpwstr/>
      </vt:variant>
      <vt:variant>
        <vt:lpwstr>_Toc136012326</vt:lpwstr>
      </vt:variant>
      <vt:variant>
        <vt:i4>1310773</vt:i4>
      </vt:variant>
      <vt:variant>
        <vt:i4>44</vt:i4>
      </vt:variant>
      <vt:variant>
        <vt:i4>0</vt:i4>
      </vt:variant>
      <vt:variant>
        <vt:i4>5</vt:i4>
      </vt:variant>
      <vt:variant>
        <vt:lpwstr/>
      </vt:variant>
      <vt:variant>
        <vt:lpwstr>_Toc136012325</vt:lpwstr>
      </vt:variant>
      <vt:variant>
        <vt:i4>1310773</vt:i4>
      </vt:variant>
      <vt:variant>
        <vt:i4>38</vt:i4>
      </vt:variant>
      <vt:variant>
        <vt:i4>0</vt:i4>
      </vt:variant>
      <vt:variant>
        <vt:i4>5</vt:i4>
      </vt:variant>
      <vt:variant>
        <vt:lpwstr/>
      </vt:variant>
      <vt:variant>
        <vt:lpwstr>_Toc136012324</vt:lpwstr>
      </vt:variant>
      <vt:variant>
        <vt:i4>1310773</vt:i4>
      </vt:variant>
      <vt:variant>
        <vt:i4>32</vt:i4>
      </vt:variant>
      <vt:variant>
        <vt:i4>0</vt:i4>
      </vt:variant>
      <vt:variant>
        <vt:i4>5</vt:i4>
      </vt:variant>
      <vt:variant>
        <vt:lpwstr/>
      </vt:variant>
      <vt:variant>
        <vt:lpwstr>_Toc136012323</vt:lpwstr>
      </vt:variant>
      <vt:variant>
        <vt:i4>1310773</vt:i4>
      </vt:variant>
      <vt:variant>
        <vt:i4>26</vt:i4>
      </vt:variant>
      <vt:variant>
        <vt:i4>0</vt:i4>
      </vt:variant>
      <vt:variant>
        <vt:i4>5</vt:i4>
      </vt:variant>
      <vt:variant>
        <vt:lpwstr/>
      </vt:variant>
      <vt:variant>
        <vt:lpwstr>_Toc136012322</vt:lpwstr>
      </vt:variant>
      <vt:variant>
        <vt:i4>1310773</vt:i4>
      </vt:variant>
      <vt:variant>
        <vt:i4>20</vt:i4>
      </vt:variant>
      <vt:variant>
        <vt:i4>0</vt:i4>
      </vt:variant>
      <vt:variant>
        <vt:i4>5</vt:i4>
      </vt:variant>
      <vt:variant>
        <vt:lpwstr/>
      </vt:variant>
      <vt:variant>
        <vt:lpwstr>_Toc136012321</vt:lpwstr>
      </vt:variant>
      <vt:variant>
        <vt:i4>1310773</vt:i4>
      </vt:variant>
      <vt:variant>
        <vt:i4>14</vt:i4>
      </vt:variant>
      <vt:variant>
        <vt:i4>0</vt:i4>
      </vt:variant>
      <vt:variant>
        <vt:i4>5</vt:i4>
      </vt:variant>
      <vt:variant>
        <vt:lpwstr/>
      </vt:variant>
      <vt:variant>
        <vt:lpwstr>_Toc136012320</vt:lpwstr>
      </vt:variant>
      <vt:variant>
        <vt:i4>1507381</vt:i4>
      </vt:variant>
      <vt:variant>
        <vt:i4>8</vt:i4>
      </vt:variant>
      <vt:variant>
        <vt:i4>0</vt:i4>
      </vt:variant>
      <vt:variant>
        <vt:i4>5</vt:i4>
      </vt:variant>
      <vt:variant>
        <vt:lpwstr/>
      </vt:variant>
      <vt:variant>
        <vt:lpwstr>_Toc136012319</vt:lpwstr>
      </vt:variant>
      <vt:variant>
        <vt:i4>1507381</vt:i4>
      </vt:variant>
      <vt:variant>
        <vt:i4>2</vt:i4>
      </vt:variant>
      <vt:variant>
        <vt:i4>0</vt:i4>
      </vt:variant>
      <vt:variant>
        <vt:i4>5</vt:i4>
      </vt:variant>
      <vt:variant>
        <vt:lpwstr/>
      </vt:variant>
      <vt:variant>
        <vt:lpwstr>_Toc136012318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Victoria's Accommodation Sector 2023-24</dc:title>
  <dc:subject/>
  <dc:creator>Maria G Camillo (DJSIR)</dc:creator>
  <cp:keywords/>
  <dc:description/>
  <cp:lastModifiedBy>Jacinta M Hurst (DJSIR)</cp:lastModifiedBy>
  <cp:revision>2</cp:revision>
  <dcterms:created xsi:type="dcterms:W3CDTF">2024-10-24T22:31:00Z</dcterms:created>
  <dcterms:modified xsi:type="dcterms:W3CDTF">2024-10-24T22:31:00Z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2023-08-24T03:24:25Z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4fe124a3-cf3d-4bfa-a0fe-8c8b0420cc51</vt:lpwstr>
  </property>
  <property fmtid="{D5CDD505-2E9C-101B-9397-08002B2CF9AE}" pid="8" name="MSIP_Label_d00a4df9-c942-4b09-b23a-6c1023f6de27_ContentBits">
    <vt:lpwstr>3</vt:lpwstr>
  </property>
</Properties>
</file>