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A73C" w14:textId="24ADA7BD" w:rsidR="00E37A04" w:rsidRPr="00E10F32" w:rsidRDefault="00D8101A" w:rsidP="00E44444">
      <w:pPr>
        <w:pStyle w:val="Title"/>
        <w:rPr>
          <w:rFonts w:ascii="Arial" w:hAnsi="Arial" w:cs="Arial"/>
          <w:color w:val="262626" w:themeColor="text1" w:themeTint="D9"/>
          <w:spacing w:val="-15"/>
          <w:kern w:val="0"/>
        </w:rPr>
      </w:pPr>
      <w:r w:rsidRPr="00E10F32">
        <w:rPr>
          <w:rFonts w:ascii="Arial" w:hAnsi="Arial" w:cs="Arial"/>
          <w:color w:val="262626" w:themeColor="text1" w:themeTint="D9"/>
          <w:spacing w:val="-15"/>
          <w:kern w:val="0"/>
        </w:rPr>
        <w:t>T</w:t>
      </w:r>
      <w:r w:rsidR="001E1426" w:rsidRPr="00E10F32">
        <w:rPr>
          <w:rFonts w:ascii="Arial" w:hAnsi="Arial" w:cs="Arial"/>
          <w:color w:val="262626" w:themeColor="text1" w:themeTint="D9"/>
          <w:spacing w:val="-15"/>
          <w:kern w:val="0"/>
        </w:rPr>
        <w:t xml:space="preserve">ourism </w:t>
      </w:r>
      <w:r w:rsidR="00E10F32">
        <w:rPr>
          <w:rFonts w:ascii="Arial" w:hAnsi="Arial" w:cs="Arial"/>
          <w:color w:val="262626" w:themeColor="text1" w:themeTint="D9"/>
          <w:spacing w:val="-15"/>
          <w:kern w:val="0"/>
        </w:rPr>
        <w:t>d</w:t>
      </w:r>
      <w:r w:rsidR="001E1426" w:rsidRPr="00E10F32">
        <w:rPr>
          <w:rFonts w:ascii="Arial" w:hAnsi="Arial" w:cs="Arial"/>
          <w:color w:val="262626" w:themeColor="text1" w:themeTint="D9"/>
          <w:spacing w:val="-15"/>
          <w:kern w:val="0"/>
        </w:rPr>
        <w:t xml:space="preserve">ata </w:t>
      </w:r>
      <w:r w:rsidR="00E10F32">
        <w:rPr>
          <w:rFonts w:ascii="Arial" w:hAnsi="Arial" w:cs="Arial"/>
          <w:color w:val="262626" w:themeColor="text1" w:themeTint="D9"/>
          <w:spacing w:val="-15"/>
          <w:kern w:val="0"/>
        </w:rPr>
        <w:t>s</w:t>
      </w:r>
      <w:r w:rsidR="001E1426" w:rsidRPr="00E10F32">
        <w:rPr>
          <w:rFonts w:ascii="Arial" w:hAnsi="Arial" w:cs="Arial"/>
          <w:color w:val="262626" w:themeColor="text1" w:themeTint="D9"/>
          <w:spacing w:val="-15"/>
          <w:kern w:val="0"/>
        </w:rPr>
        <w:t xml:space="preserve">ources and </w:t>
      </w:r>
      <w:r w:rsidR="00E10F32">
        <w:rPr>
          <w:rFonts w:ascii="Arial" w:hAnsi="Arial" w:cs="Arial"/>
          <w:color w:val="262626" w:themeColor="text1" w:themeTint="D9"/>
          <w:spacing w:val="-15"/>
          <w:kern w:val="0"/>
        </w:rPr>
        <w:t>d</w:t>
      </w:r>
      <w:r w:rsidR="001E1426" w:rsidRPr="00E10F32">
        <w:rPr>
          <w:rFonts w:ascii="Arial" w:hAnsi="Arial" w:cs="Arial"/>
          <w:color w:val="262626" w:themeColor="text1" w:themeTint="D9"/>
          <w:spacing w:val="-15"/>
          <w:kern w:val="0"/>
        </w:rPr>
        <w:t>efinitions</w:t>
      </w:r>
      <w:r w:rsidR="00FB7E98" w:rsidRPr="00E10F32">
        <w:rPr>
          <w:rFonts w:ascii="Arial" w:hAnsi="Arial" w:cs="Arial"/>
          <w:color w:val="262626" w:themeColor="text1" w:themeTint="D9"/>
          <w:spacing w:val="-15"/>
          <w:kern w:val="0"/>
        </w:rPr>
        <w:t xml:space="preserve"> </w:t>
      </w:r>
    </w:p>
    <w:p w14:paraId="2008D38A" w14:textId="1A66B39C" w:rsidR="00203332" w:rsidRPr="00BE1D31" w:rsidRDefault="001E1426" w:rsidP="00BE1D31">
      <w:pPr>
        <w:rPr>
          <w:rFonts w:ascii="Arial" w:hAnsi="Arial" w:cs="Arial"/>
        </w:rPr>
      </w:pPr>
      <w:bookmarkStart w:id="0" w:name="_Toc155711422"/>
      <w:bookmarkStart w:id="1" w:name="_Toc155948954"/>
      <w:r w:rsidRPr="00BE1D31">
        <w:rPr>
          <w:rFonts w:ascii="Arial" w:hAnsi="Arial" w:cs="Arial"/>
        </w:rPr>
        <w:t xml:space="preserve">Report produced </w:t>
      </w:r>
      <w:r w:rsidR="007B44E2" w:rsidRPr="00BE1D31">
        <w:rPr>
          <w:rFonts w:ascii="Arial" w:hAnsi="Arial" w:cs="Arial"/>
        </w:rPr>
        <w:t>May</w:t>
      </w:r>
      <w:r w:rsidR="009A7271" w:rsidRPr="00BE1D31">
        <w:rPr>
          <w:rFonts w:ascii="Arial" w:hAnsi="Arial" w:cs="Arial"/>
        </w:rPr>
        <w:t xml:space="preserve"> </w:t>
      </w:r>
      <w:r w:rsidR="00AC6297" w:rsidRPr="00BE1D31">
        <w:rPr>
          <w:rFonts w:ascii="Arial" w:hAnsi="Arial" w:cs="Arial"/>
        </w:rPr>
        <w:t>2024</w:t>
      </w:r>
      <w:r w:rsidRPr="00BE1D31">
        <w:rPr>
          <w:rFonts w:ascii="Arial" w:hAnsi="Arial" w:cs="Arial"/>
        </w:rPr>
        <w:t xml:space="preserve"> by Tourism and Events </w:t>
      </w:r>
      <w:r w:rsidR="00C33B90" w:rsidRPr="00BE1D31">
        <w:rPr>
          <w:rFonts w:ascii="Arial" w:hAnsi="Arial" w:cs="Arial"/>
        </w:rPr>
        <w:t>R</w:t>
      </w:r>
      <w:r w:rsidR="000632ED" w:rsidRPr="00BE1D31">
        <w:rPr>
          <w:rFonts w:ascii="Arial" w:hAnsi="Arial" w:cs="Arial"/>
        </w:rPr>
        <w:t>esearch</w:t>
      </w:r>
      <w:r w:rsidRPr="00BE1D31">
        <w:rPr>
          <w:rFonts w:ascii="Arial" w:hAnsi="Arial" w:cs="Arial"/>
        </w:rPr>
        <w:t xml:space="preserve"> </w:t>
      </w:r>
      <w:bookmarkEnd w:id="0"/>
      <w:bookmarkEnd w:id="1"/>
    </w:p>
    <w:p w14:paraId="483DFB14" w14:textId="695D133D" w:rsidR="000632ED" w:rsidRPr="00BE1D31" w:rsidRDefault="000632ED" w:rsidP="00BE1D31">
      <w:pPr>
        <w:rPr>
          <w:rFonts w:ascii="Arial" w:hAnsi="Arial" w:cs="Arial"/>
        </w:rPr>
      </w:pPr>
      <w:bookmarkStart w:id="2" w:name="_Toc155711423"/>
      <w:bookmarkStart w:id="3" w:name="_Toc155948955"/>
      <w:r w:rsidRPr="00BE1D31">
        <w:rPr>
          <w:rFonts w:ascii="Arial" w:hAnsi="Arial" w:cs="Arial"/>
        </w:rPr>
        <w:t>Department of Jobs, Skills, Industry and Regions</w:t>
      </w:r>
      <w:r w:rsidR="008345D1" w:rsidRPr="00BE1D31">
        <w:rPr>
          <w:rFonts w:ascii="Arial" w:hAnsi="Arial" w:cs="Arial"/>
        </w:rPr>
        <w:t xml:space="preserve"> (DJSIR)</w:t>
      </w:r>
      <w:r w:rsidRPr="00BE1D31">
        <w:rPr>
          <w:rFonts w:ascii="Arial" w:hAnsi="Arial" w:cs="Arial"/>
        </w:rPr>
        <w:t>.</w:t>
      </w:r>
      <w:bookmarkEnd w:id="2"/>
      <w:bookmarkEnd w:id="3"/>
      <w:r w:rsidRPr="00BE1D31">
        <w:rPr>
          <w:rFonts w:ascii="Arial" w:hAnsi="Arial" w:cs="Arial"/>
        </w:rPr>
        <w:t xml:space="preserve"> </w:t>
      </w:r>
    </w:p>
    <w:p w14:paraId="5036906D" w14:textId="6179B390" w:rsidR="00BE1D31" w:rsidRPr="005940D0" w:rsidRDefault="007546C9" w:rsidP="005940D0">
      <w:pPr>
        <w:pStyle w:val="Heading1"/>
        <w:rPr>
          <w:rFonts w:ascii="Arial" w:hAnsi="Arial" w:cs="Arial"/>
          <w:color w:val="002060"/>
        </w:rPr>
      </w:pPr>
      <w:bookmarkStart w:id="4" w:name="_Toc133227909"/>
      <w:bookmarkStart w:id="5" w:name="_Toc133231686"/>
      <w:bookmarkStart w:id="6" w:name="_Toc142913823"/>
      <w:bookmarkStart w:id="7" w:name="_Toc142914916"/>
      <w:bookmarkStart w:id="8" w:name="_Toc142915709"/>
      <w:bookmarkStart w:id="9" w:name="_Toc142918711"/>
      <w:bookmarkStart w:id="10" w:name="_Toc142921236"/>
      <w:bookmarkStart w:id="11" w:name="_Toc143604027"/>
      <w:bookmarkStart w:id="12" w:name="_Toc143606822"/>
      <w:bookmarkStart w:id="13" w:name="_Toc155711424"/>
      <w:bookmarkStart w:id="14" w:name="_Toc155948956"/>
      <w:bookmarkStart w:id="15" w:name="_Toc167188594"/>
      <w:r w:rsidRPr="009862F5">
        <w:rPr>
          <w:rFonts w:ascii="Arial" w:hAnsi="Arial" w:cs="Arial"/>
          <w:color w:val="002060"/>
        </w:rPr>
        <w:t>Table of contents</w:t>
      </w:r>
      <w:bookmarkEnd w:id="4"/>
      <w:bookmarkEnd w:id="5"/>
      <w:bookmarkEnd w:id="6"/>
      <w:bookmarkEnd w:id="7"/>
      <w:bookmarkEnd w:id="8"/>
      <w:bookmarkEnd w:id="9"/>
      <w:bookmarkEnd w:id="10"/>
      <w:bookmarkEnd w:id="11"/>
      <w:bookmarkEnd w:id="12"/>
      <w:bookmarkEnd w:id="13"/>
      <w:bookmarkEnd w:id="14"/>
      <w:bookmarkEnd w:id="15"/>
      <w:r w:rsidRPr="009862F5">
        <w:rPr>
          <w:sz w:val="26"/>
          <w:szCs w:val="26"/>
        </w:rPr>
        <w:fldChar w:fldCharType="begin"/>
      </w:r>
      <w:r w:rsidRPr="009862F5">
        <w:instrText xml:space="preserve"> TOC \o "1-2" \h \z \u </w:instrText>
      </w:r>
      <w:r w:rsidRPr="009862F5">
        <w:rPr>
          <w:sz w:val="26"/>
          <w:szCs w:val="26"/>
        </w:rPr>
        <w:fldChar w:fldCharType="separate"/>
      </w:r>
    </w:p>
    <w:p w14:paraId="7E3D38C9" w14:textId="46576D7B" w:rsidR="00BE1D31" w:rsidRPr="00956625" w:rsidRDefault="00BE1D31">
      <w:pPr>
        <w:pStyle w:val="TOC1"/>
        <w:tabs>
          <w:tab w:val="left" w:pos="440"/>
          <w:tab w:val="right" w:leader="dot" w:pos="9771"/>
        </w:tabs>
        <w:rPr>
          <w:rFonts w:ascii="Arial" w:eastAsiaTheme="minorEastAsia" w:hAnsi="Arial" w:cs="Arial"/>
          <w:noProof/>
          <w:kern w:val="2"/>
          <w:lang w:eastAsia="en-AU"/>
          <w14:ligatures w14:val="standardContextual"/>
        </w:rPr>
      </w:pPr>
      <w:hyperlink w:anchor="_Toc167188595" w:history="1">
        <w:r w:rsidRPr="00956625">
          <w:rPr>
            <w:rStyle w:val="Hyperlink"/>
            <w:rFonts w:ascii="Arial" w:hAnsi="Arial" w:cs="Arial"/>
            <w:noProof/>
          </w:rPr>
          <w:t>1.Tourism data definitions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_Toc167188595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2</w:t>
        </w:r>
        <w:r w:rsidRPr="00956625">
          <w:rPr>
            <w:rFonts w:ascii="Arial" w:hAnsi="Arial" w:cs="Arial"/>
            <w:noProof/>
            <w:webHidden/>
          </w:rPr>
          <w:fldChar w:fldCharType="end"/>
        </w:r>
      </w:hyperlink>
    </w:p>
    <w:p w14:paraId="0DB86278" w14:textId="78655E47" w:rsidR="00BE1D31" w:rsidRPr="00956625" w:rsidRDefault="00BE1D31">
      <w:pPr>
        <w:pStyle w:val="TOC1"/>
        <w:tabs>
          <w:tab w:val="right" w:leader="dot" w:pos="9771"/>
        </w:tabs>
        <w:rPr>
          <w:rFonts w:ascii="Arial" w:eastAsiaTheme="minorEastAsia" w:hAnsi="Arial" w:cs="Arial"/>
          <w:noProof/>
          <w:kern w:val="2"/>
          <w:lang w:eastAsia="en-AU"/>
          <w14:ligatures w14:val="standardContextual"/>
        </w:rPr>
      </w:pPr>
      <w:hyperlink w:anchor="_Toc167188596" w:history="1">
        <w:r w:rsidRPr="00956625">
          <w:rPr>
            <w:rStyle w:val="Hyperlink"/>
            <w:rFonts w:ascii="Arial" w:hAnsi="Arial" w:cs="Arial"/>
            <w:noProof/>
          </w:rPr>
          <w:t>2. National Visitor Survey (NVS)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_Toc167188596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3</w:t>
        </w:r>
        <w:r w:rsidRPr="00956625">
          <w:rPr>
            <w:rFonts w:ascii="Arial" w:hAnsi="Arial" w:cs="Arial"/>
            <w:noProof/>
            <w:webHidden/>
          </w:rPr>
          <w:fldChar w:fldCharType="end"/>
        </w:r>
      </w:hyperlink>
    </w:p>
    <w:p w14:paraId="75A65B59" w14:textId="598BCFF5"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597" w:history="1">
        <w:r w:rsidRPr="00956625">
          <w:rPr>
            <w:rStyle w:val="Hyperlink"/>
            <w:rFonts w:ascii="Arial" w:hAnsi="Arial" w:cs="Arial"/>
            <w:noProof/>
          </w:rPr>
          <w:t>2.1 NVS survey methodology</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_Toc167188597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3</w:t>
        </w:r>
        <w:r w:rsidRPr="00956625">
          <w:rPr>
            <w:rFonts w:ascii="Arial" w:hAnsi="Arial" w:cs="Arial"/>
            <w:noProof/>
            <w:webHidden/>
          </w:rPr>
          <w:fldChar w:fldCharType="end"/>
        </w:r>
      </w:hyperlink>
    </w:p>
    <w:p w14:paraId="0A0B69A9" w14:textId="42E32B38"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598" w:history="1">
        <w:r w:rsidRPr="00956625">
          <w:rPr>
            <w:rStyle w:val="Hyperlink"/>
            <w:rFonts w:ascii="Arial" w:hAnsi="Arial" w:cs="Arial"/>
            <w:noProof/>
          </w:rPr>
          <w:t>2.2 Key NVS metrics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_Toc167188598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3</w:t>
        </w:r>
        <w:r w:rsidRPr="00956625">
          <w:rPr>
            <w:rFonts w:ascii="Arial" w:hAnsi="Arial" w:cs="Arial"/>
            <w:noProof/>
            <w:webHidden/>
          </w:rPr>
          <w:fldChar w:fldCharType="end"/>
        </w:r>
      </w:hyperlink>
    </w:p>
    <w:p w14:paraId="72E1237A" w14:textId="16E0B579"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599" w:history="1">
        <w:r w:rsidRPr="00956625">
          <w:rPr>
            <w:rStyle w:val="Hyperlink"/>
            <w:rFonts w:ascii="Arial" w:hAnsi="Arial" w:cs="Arial"/>
            <w:noProof/>
          </w:rPr>
          <w:t>2.3 NVS publishing guidelines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_Toc167188599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3</w:t>
        </w:r>
        <w:r w:rsidRPr="00956625">
          <w:rPr>
            <w:rFonts w:ascii="Arial" w:hAnsi="Arial" w:cs="Arial"/>
            <w:noProof/>
            <w:webHidden/>
          </w:rPr>
          <w:fldChar w:fldCharType="end"/>
        </w:r>
      </w:hyperlink>
    </w:p>
    <w:p w14:paraId="421AEA2B" w14:textId="38E2D281"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00" w:history="1">
        <w:r w:rsidRPr="00956625">
          <w:rPr>
            <w:rStyle w:val="Hyperlink"/>
            <w:rFonts w:ascii="Arial" w:hAnsi="Arial" w:cs="Arial"/>
            <w:noProof/>
          </w:rPr>
          <w:t>2.4 Data limitations of the NVS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_Toc167188600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5</w:t>
        </w:r>
        <w:r w:rsidRPr="00956625">
          <w:rPr>
            <w:rFonts w:ascii="Arial" w:hAnsi="Arial" w:cs="Arial"/>
            <w:noProof/>
            <w:webHidden/>
          </w:rPr>
          <w:fldChar w:fldCharType="end"/>
        </w:r>
      </w:hyperlink>
    </w:p>
    <w:p w14:paraId="1D964E5D" w14:textId="66A8FE88" w:rsidR="00BE1D31" w:rsidRPr="00956625" w:rsidRDefault="00BE1D31">
      <w:pPr>
        <w:pStyle w:val="TOC1"/>
        <w:tabs>
          <w:tab w:val="left" w:pos="440"/>
          <w:tab w:val="right" w:leader="dot" w:pos="9771"/>
        </w:tabs>
        <w:rPr>
          <w:rFonts w:ascii="Arial" w:eastAsiaTheme="minorEastAsia" w:hAnsi="Arial" w:cs="Arial"/>
          <w:noProof/>
          <w:kern w:val="2"/>
          <w:lang w:eastAsia="en-AU"/>
          <w14:ligatures w14:val="standardContextual"/>
        </w:rPr>
      </w:pPr>
      <w:hyperlink w:anchor="_Toc167188601" w:history="1">
        <w:r w:rsidRPr="00956625">
          <w:rPr>
            <w:rStyle w:val="Hyperlink"/>
            <w:rFonts w:ascii="Arial" w:hAnsi="Arial" w:cs="Arial"/>
            <w:noProof/>
          </w:rPr>
          <w:t>3.</w:t>
        </w:r>
        <w:r w:rsidRPr="00956625">
          <w:rPr>
            <w:rFonts w:ascii="Arial" w:eastAsiaTheme="minorEastAsia" w:hAnsi="Arial" w:cs="Arial"/>
            <w:noProof/>
            <w:kern w:val="2"/>
            <w:lang w:eastAsia="en-AU"/>
            <w14:ligatures w14:val="standardContextual"/>
          </w:rPr>
          <w:tab/>
        </w:r>
        <w:r w:rsidRPr="00956625">
          <w:rPr>
            <w:rStyle w:val="Hyperlink"/>
            <w:rFonts w:ascii="Arial" w:hAnsi="Arial" w:cs="Arial"/>
            <w:noProof/>
          </w:rPr>
          <w:t>International Visitor Survey (IVS)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_Toc167188601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5</w:t>
        </w:r>
        <w:r w:rsidRPr="00956625">
          <w:rPr>
            <w:rFonts w:ascii="Arial" w:hAnsi="Arial" w:cs="Arial"/>
            <w:noProof/>
            <w:webHidden/>
          </w:rPr>
          <w:fldChar w:fldCharType="end"/>
        </w:r>
      </w:hyperlink>
    </w:p>
    <w:p w14:paraId="2A48F7FD" w14:textId="2D0BD5F9"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02" w:history="1">
        <w:r w:rsidRPr="00956625">
          <w:rPr>
            <w:rStyle w:val="Hyperlink"/>
            <w:rFonts w:ascii="Arial" w:hAnsi="Arial" w:cs="Arial"/>
            <w:noProof/>
          </w:rPr>
          <w:t>3.1 IVS survey methodology</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_Toc167188602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5</w:t>
        </w:r>
        <w:r w:rsidRPr="00956625">
          <w:rPr>
            <w:rFonts w:ascii="Arial" w:hAnsi="Arial" w:cs="Arial"/>
            <w:noProof/>
            <w:webHidden/>
          </w:rPr>
          <w:fldChar w:fldCharType="end"/>
        </w:r>
      </w:hyperlink>
    </w:p>
    <w:p w14:paraId="4C5E7336" w14:textId="0A758410"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03" w:history="1">
        <w:r w:rsidRPr="00956625">
          <w:rPr>
            <w:rStyle w:val="Hyperlink"/>
            <w:rFonts w:ascii="Arial" w:hAnsi="Arial" w:cs="Arial"/>
            <w:noProof/>
          </w:rPr>
          <w:t>3.2 Key IVS metrics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_Toc167188603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5</w:t>
        </w:r>
        <w:r w:rsidRPr="00956625">
          <w:rPr>
            <w:rFonts w:ascii="Arial" w:hAnsi="Arial" w:cs="Arial"/>
            <w:noProof/>
            <w:webHidden/>
          </w:rPr>
          <w:fldChar w:fldCharType="end"/>
        </w:r>
      </w:hyperlink>
    </w:p>
    <w:p w14:paraId="5E76B156" w14:textId="75198B4B"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04" w:history="1">
        <w:r w:rsidRPr="00956625">
          <w:rPr>
            <w:rStyle w:val="Hyperlink"/>
            <w:rFonts w:ascii="Arial" w:hAnsi="Arial" w:cs="Arial"/>
            <w:noProof/>
          </w:rPr>
          <w:t>3.3 IVS publishing guidelines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_Toc167188604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6</w:t>
        </w:r>
        <w:r w:rsidRPr="00956625">
          <w:rPr>
            <w:rFonts w:ascii="Arial" w:hAnsi="Arial" w:cs="Arial"/>
            <w:noProof/>
            <w:webHidden/>
          </w:rPr>
          <w:fldChar w:fldCharType="end"/>
        </w:r>
      </w:hyperlink>
    </w:p>
    <w:p w14:paraId="0A7E1E77" w14:textId="11665FC3"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05" w:history="1">
        <w:r w:rsidRPr="00956625">
          <w:rPr>
            <w:rStyle w:val="Hyperlink"/>
            <w:rFonts w:ascii="Arial" w:hAnsi="Arial" w:cs="Arial"/>
            <w:noProof/>
          </w:rPr>
          <w:t>3.4 Data limitations of the IVS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_Toc167188605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7</w:t>
        </w:r>
        <w:r w:rsidRPr="00956625">
          <w:rPr>
            <w:rFonts w:ascii="Arial" w:hAnsi="Arial" w:cs="Arial"/>
            <w:noProof/>
            <w:webHidden/>
          </w:rPr>
          <w:fldChar w:fldCharType="end"/>
        </w:r>
      </w:hyperlink>
    </w:p>
    <w:p w14:paraId="23637620" w14:textId="3A32E6D6" w:rsidR="00BE1D31" w:rsidRPr="00956625" w:rsidRDefault="00BE1D31">
      <w:pPr>
        <w:pStyle w:val="TOC1"/>
        <w:tabs>
          <w:tab w:val="left" w:pos="440"/>
          <w:tab w:val="right" w:leader="dot" w:pos="9771"/>
        </w:tabs>
        <w:rPr>
          <w:rFonts w:ascii="Arial" w:eastAsiaTheme="minorEastAsia" w:hAnsi="Arial" w:cs="Arial"/>
          <w:noProof/>
          <w:kern w:val="2"/>
          <w:lang w:eastAsia="en-AU"/>
          <w14:ligatures w14:val="standardContextual"/>
        </w:rPr>
      </w:pPr>
      <w:hyperlink w:anchor="_Toc167188606" w:history="1">
        <w:r w:rsidRPr="00956625">
          <w:rPr>
            <w:rStyle w:val="Hyperlink"/>
            <w:rFonts w:ascii="Arial" w:hAnsi="Arial" w:cs="Arial"/>
            <w:noProof/>
          </w:rPr>
          <w:t>4.</w:t>
        </w:r>
        <w:r w:rsidRPr="00956625">
          <w:rPr>
            <w:rFonts w:ascii="Arial" w:eastAsiaTheme="minorEastAsia" w:hAnsi="Arial" w:cs="Arial"/>
            <w:noProof/>
            <w:kern w:val="2"/>
            <w:lang w:eastAsia="en-AU"/>
            <w14:ligatures w14:val="standardContextual"/>
          </w:rPr>
          <w:tab/>
        </w:r>
        <w:r w:rsidRPr="00956625">
          <w:rPr>
            <w:rStyle w:val="Hyperlink"/>
            <w:rFonts w:ascii="Arial" w:hAnsi="Arial" w:cs="Arial"/>
            <w:noProof/>
          </w:rPr>
          <w:t>Overseas arrivals and departures (OAD)</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_Toc167188606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8</w:t>
        </w:r>
        <w:r w:rsidRPr="00956625">
          <w:rPr>
            <w:rFonts w:ascii="Arial" w:hAnsi="Arial" w:cs="Arial"/>
            <w:noProof/>
            <w:webHidden/>
          </w:rPr>
          <w:fldChar w:fldCharType="end"/>
        </w:r>
      </w:hyperlink>
    </w:p>
    <w:p w14:paraId="39B77AA0" w14:textId="2913DE9E"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07" w:history="1">
        <w:r w:rsidRPr="00956625">
          <w:rPr>
            <w:rStyle w:val="Hyperlink"/>
            <w:rFonts w:ascii="Arial" w:hAnsi="Arial" w:cs="Arial"/>
            <w:noProof/>
          </w:rPr>
          <w:t>4.1 Data limitations of the OAD</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_Toc167188607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8</w:t>
        </w:r>
        <w:r w:rsidRPr="00956625">
          <w:rPr>
            <w:rFonts w:ascii="Arial" w:hAnsi="Arial" w:cs="Arial"/>
            <w:noProof/>
            <w:webHidden/>
          </w:rPr>
          <w:fldChar w:fldCharType="end"/>
        </w:r>
      </w:hyperlink>
    </w:p>
    <w:p w14:paraId="4EE80D2A" w14:textId="123E7B89" w:rsidR="00BE1D31" w:rsidRPr="00956625" w:rsidRDefault="00BE1D31">
      <w:pPr>
        <w:pStyle w:val="TOC1"/>
        <w:tabs>
          <w:tab w:val="left" w:pos="440"/>
          <w:tab w:val="right" w:leader="dot" w:pos="9771"/>
        </w:tabs>
        <w:rPr>
          <w:rFonts w:ascii="Arial" w:eastAsiaTheme="minorEastAsia" w:hAnsi="Arial" w:cs="Arial"/>
          <w:noProof/>
          <w:kern w:val="2"/>
          <w:lang w:eastAsia="en-AU"/>
          <w14:ligatures w14:val="standardContextual"/>
        </w:rPr>
      </w:pPr>
      <w:hyperlink w:anchor="_Toc167188608" w:history="1">
        <w:r w:rsidRPr="00956625">
          <w:rPr>
            <w:rStyle w:val="Hyperlink"/>
            <w:rFonts w:ascii="Arial" w:hAnsi="Arial" w:cs="Arial"/>
            <w:noProof/>
          </w:rPr>
          <w:t>5.</w:t>
        </w:r>
        <w:r w:rsidRPr="00956625">
          <w:rPr>
            <w:rFonts w:ascii="Arial" w:eastAsiaTheme="minorEastAsia" w:hAnsi="Arial" w:cs="Arial"/>
            <w:noProof/>
            <w:kern w:val="2"/>
            <w:lang w:eastAsia="en-AU"/>
            <w14:ligatures w14:val="standardContextual"/>
          </w:rPr>
          <w:tab/>
        </w:r>
        <w:r w:rsidRPr="00956625">
          <w:rPr>
            <w:rStyle w:val="Hyperlink"/>
            <w:rFonts w:ascii="Arial" w:hAnsi="Arial" w:cs="Arial"/>
            <w:noProof/>
          </w:rPr>
          <w:t>Tourism forecasts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_Toc167188608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8</w:t>
        </w:r>
        <w:r w:rsidRPr="00956625">
          <w:rPr>
            <w:rFonts w:ascii="Arial" w:hAnsi="Arial" w:cs="Arial"/>
            <w:noProof/>
            <w:webHidden/>
          </w:rPr>
          <w:fldChar w:fldCharType="end"/>
        </w:r>
      </w:hyperlink>
    </w:p>
    <w:p w14:paraId="374DD136" w14:textId="6645C385"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09" w:history="1">
        <w:r w:rsidRPr="00956625">
          <w:rPr>
            <w:rStyle w:val="Hyperlink"/>
            <w:rFonts w:ascii="Arial" w:hAnsi="Arial" w:cs="Arial"/>
            <w:noProof/>
          </w:rPr>
          <w:t>5.1 Forecast methodology</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_Toc167188609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9</w:t>
        </w:r>
        <w:r w:rsidRPr="00956625">
          <w:rPr>
            <w:rFonts w:ascii="Arial" w:hAnsi="Arial" w:cs="Arial"/>
            <w:noProof/>
            <w:webHidden/>
          </w:rPr>
          <w:fldChar w:fldCharType="end"/>
        </w:r>
      </w:hyperlink>
    </w:p>
    <w:p w14:paraId="3F5FCD00" w14:textId="7CD0639B" w:rsidR="00BE1D31" w:rsidRPr="00956625" w:rsidRDefault="00BE1D31">
      <w:pPr>
        <w:pStyle w:val="TOC2"/>
        <w:tabs>
          <w:tab w:val="left" w:pos="880"/>
          <w:tab w:val="right" w:leader="dot" w:pos="9771"/>
        </w:tabs>
        <w:rPr>
          <w:rFonts w:ascii="Arial" w:eastAsiaTheme="minorEastAsia" w:hAnsi="Arial" w:cs="Arial"/>
          <w:noProof/>
          <w:kern w:val="2"/>
          <w:lang w:eastAsia="en-AU"/>
          <w14:ligatures w14:val="standardContextual"/>
        </w:rPr>
      </w:pPr>
      <w:hyperlink w:anchor="_Toc167188610" w:history="1">
        <w:r w:rsidRPr="00956625">
          <w:rPr>
            <w:rStyle w:val="Hyperlink"/>
            <w:rFonts w:ascii="Arial" w:hAnsi="Arial" w:cs="Arial"/>
            <w:noProof/>
          </w:rPr>
          <w:t>5.2</w:t>
        </w:r>
        <w:r w:rsidRPr="00956625">
          <w:rPr>
            <w:rFonts w:ascii="Arial" w:eastAsiaTheme="minorEastAsia" w:hAnsi="Arial" w:cs="Arial"/>
            <w:noProof/>
            <w:kern w:val="2"/>
            <w:lang w:eastAsia="en-AU"/>
            <w14:ligatures w14:val="standardContextual"/>
          </w:rPr>
          <w:tab/>
        </w:r>
        <w:r w:rsidRPr="00956625">
          <w:rPr>
            <w:rStyle w:val="Hyperlink"/>
            <w:rFonts w:ascii="Arial" w:hAnsi="Arial" w:cs="Arial"/>
            <w:noProof/>
          </w:rPr>
          <w:t>Data limitations of forecasts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_Toc167188610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9</w:t>
        </w:r>
        <w:r w:rsidRPr="00956625">
          <w:rPr>
            <w:rFonts w:ascii="Arial" w:hAnsi="Arial" w:cs="Arial"/>
            <w:noProof/>
            <w:webHidden/>
          </w:rPr>
          <w:fldChar w:fldCharType="end"/>
        </w:r>
      </w:hyperlink>
    </w:p>
    <w:p w14:paraId="59483E4F" w14:textId="094CA03F" w:rsidR="00BE1D31" w:rsidRPr="00956625" w:rsidRDefault="00BE1D31">
      <w:pPr>
        <w:pStyle w:val="TOC1"/>
        <w:tabs>
          <w:tab w:val="right" w:leader="dot" w:pos="9771"/>
        </w:tabs>
        <w:rPr>
          <w:rFonts w:ascii="Arial" w:eastAsiaTheme="minorEastAsia" w:hAnsi="Arial" w:cs="Arial"/>
          <w:noProof/>
          <w:kern w:val="2"/>
          <w:lang w:eastAsia="en-AU"/>
          <w14:ligatures w14:val="standardContextual"/>
        </w:rPr>
      </w:pPr>
      <w:hyperlink w:anchor="_Toc167188611" w:history="1">
        <w:r w:rsidRPr="00956625">
          <w:rPr>
            <w:rStyle w:val="Hyperlink"/>
            <w:rFonts w:ascii="Arial" w:hAnsi="Arial" w:cs="Arial"/>
            <w:noProof/>
          </w:rPr>
          <w:t>6.Tourism Satellite Account (TSA)</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_Toc167188611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9</w:t>
        </w:r>
        <w:r w:rsidRPr="00956625">
          <w:rPr>
            <w:rFonts w:ascii="Arial" w:hAnsi="Arial" w:cs="Arial"/>
            <w:noProof/>
            <w:webHidden/>
          </w:rPr>
          <w:fldChar w:fldCharType="end"/>
        </w:r>
      </w:hyperlink>
    </w:p>
    <w:p w14:paraId="438B3736" w14:textId="0F81FC70"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12" w:history="1">
        <w:r w:rsidRPr="00956625">
          <w:rPr>
            <w:rStyle w:val="Hyperlink"/>
            <w:rFonts w:ascii="Arial" w:hAnsi="Arial" w:cs="Arial"/>
            <w:noProof/>
          </w:rPr>
          <w:t>6.1 TSA methodology</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_Toc167188612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9</w:t>
        </w:r>
        <w:r w:rsidRPr="00956625">
          <w:rPr>
            <w:rFonts w:ascii="Arial" w:hAnsi="Arial" w:cs="Arial"/>
            <w:noProof/>
            <w:webHidden/>
          </w:rPr>
          <w:fldChar w:fldCharType="end"/>
        </w:r>
      </w:hyperlink>
    </w:p>
    <w:p w14:paraId="4ED1FCA4" w14:textId="3133345A"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13" w:history="1">
        <w:r w:rsidRPr="00956625">
          <w:rPr>
            <w:rStyle w:val="Hyperlink"/>
            <w:rFonts w:ascii="Arial" w:hAnsi="Arial" w:cs="Arial"/>
            <w:noProof/>
          </w:rPr>
          <w:t>6.2 Key concepts of TSA</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_Toc167188613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10</w:t>
        </w:r>
        <w:r w:rsidRPr="00956625">
          <w:rPr>
            <w:rFonts w:ascii="Arial" w:hAnsi="Arial" w:cs="Arial"/>
            <w:noProof/>
            <w:webHidden/>
          </w:rPr>
          <w:fldChar w:fldCharType="end"/>
        </w:r>
      </w:hyperlink>
    </w:p>
    <w:p w14:paraId="68D5FA3D" w14:textId="34E322C9"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14" w:history="1">
        <w:r w:rsidRPr="00956625">
          <w:rPr>
            <w:rStyle w:val="Hyperlink"/>
            <w:rFonts w:ascii="Arial" w:hAnsi="Arial" w:cs="Arial"/>
            <w:noProof/>
          </w:rPr>
          <w:t>6.3 TSA reporting levels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_Toc167188614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10</w:t>
        </w:r>
        <w:r w:rsidRPr="00956625">
          <w:rPr>
            <w:rFonts w:ascii="Arial" w:hAnsi="Arial" w:cs="Arial"/>
            <w:noProof/>
            <w:webHidden/>
          </w:rPr>
          <w:fldChar w:fldCharType="end"/>
        </w:r>
      </w:hyperlink>
    </w:p>
    <w:p w14:paraId="73EDEE1E" w14:textId="050E5347"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15" w:history="1">
        <w:r w:rsidRPr="00956625">
          <w:rPr>
            <w:rStyle w:val="Hyperlink"/>
            <w:rFonts w:ascii="Arial" w:hAnsi="Arial" w:cs="Arial"/>
            <w:noProof/>
          </w:rPr>
          <w:t>6.4 Data limitations of TSA</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_Toc167188615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11</w:t>
        </w:r>
        <w:r w:rsidRPr="00956625">
          <w:rPr>
            <w:rFonts w:ascii="Arial" w:hAnsi="Arial" w:cs="Arial"/>
            <w:noProof/>
            <w:webHidden/>
          </w:rPr>
          <w:fldChar w:fldCharType="end"/>
        </w:r>
      </w:hyperlink>
    </w:p>
    <w:p w14:paraId="09D4EDB0" w14:textId="1A4D8F60"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16" w:history="1">
        <w:r w:rsidRPr="00956625">
          <w:rPr>
            <w:rStyle w:val="Hyperlink"/>
            <w:rFonts w:ascii="Arial" w:hAnsi="Arial" w:cs="Arial"/>
            <w:noProof/>
          </w:rPr>
          <w:t>6.5 Key TSA metrics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_Toc167188616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11</w:t>
        </w:r>
        <w:r w:rsidRPr="00956625">
          <w:rPr>
            <w:rFonts w:ascii="Arial" w:hAnsi="Arial" w:cs="Arial"/>
            <w:noProof/>
            <w:webHidden/>
          </w:rPr>
          <w:fldChar w:fldCharType="end"/>
        </w:r>
      </w:hyperlink>
    </w:p>
    <w:p w14:paraId="48AF24EC" w14:textId="2E424C0E" w:rsidR="00BE1D31" w:rsidRPr="00956625" w:rsidRDefault="00BE1D31">
      <w:pPr>
        <w:pStyle w:val="TOC1"/>
        <w:tabs>
          <w:tab w:val="left" w:pos="440"/>
          <w:tab w:val="right" w:leader="dot" w:pos="9771"/>
        </w:tabs>
        <w:rPr>
          <w:rFonts w:ascii="Arial" w:eastAsiaTheme="minorEastAsia" w:hAnsi="Arial" w:cs="Arial"/>
          <w:noProof/>
          <w:kern w:val="2"/>
          <w:lang w:eastAsia="en-AU"/>
          <w14:ligatures w14:val="standardContextual"/>
        </w:rPr>
      </w:pPr>
      <w:hyperlink w:anchor="_Toc167188617" w:history="1">
        <w:r w:rsidRPr="00956625">
          <w:rPr>
            <w:rStyle w:val="Hyperlink"/>
            <w:rFonts w:ascii="Arial" w:hAnsi="Arial" w:cs="Arial"/>
            <w:noProof/>
          </w:rPr>
          <w:t>7.</w:t>
        </w:r>
        <w:r w:rsidRPr="00956625">
          <w:rPr>
            <w:rFonts w:ascii="Arial" w:eastAsiaTheme="minorEastAsia" w:hAnsi="Arial" w:cs="Arial"/>
            <w:noProof/>
            <w:kern w:val="2"/>
            <w:lang w:eastAsia="en-AU"/>
            <w14:ligatures w14:val="standardContextual"/>
          </w:rPr>
          <w:tab/>
        </w:r>
        <w:r w:rsidRPr="00956625">
          <w:rPr>
            <w:rStyle w:val="Hyperlink"/>
            <w:rFonts w:ascii="Arial" w:hAnsi="Arial" w:cs="Arial"/>
            <w:noProof/>
          </w:rPr>
          <w:t>Tourism business counts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_Toc167188617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11</w:t>
        </w:r>
        <w:r w:rsidRPr="00956625">
          <w:rPr>
            <w:rFonts w:ascii="Arial" w:hAnsi="Arial" w:cs="Arial"/>
            <w:noProof/>
            <w:webHidden/>
          </w:rPr>
          <w:fldChar w:fldCharType="end"/>
        </w:r>
      </w:hyperlink>
    </w:p>
    <w:p w14:paraId="02283D1E" w14:textId="5E296C7D"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18" w:history="1">
        <w:r w:rsidRPr="00956625">
          <w:rPr>
            <w:rStyle w:val="Hyperlink"/>
            <w:rFonts w:ascii="Arial" w:hAnsi="Arial" w:cs="Arial"/>
            <w:noProof/>
          </w:rPr>
          <w:t>7.1 Business counts methodology</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_Toc167188618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12</w:t>
        </w:r>
        <w:r w:rsidRPr="00956625">
          <w:rPr>
            <w:rFonts w:ascii="Arial" w:hAnsi="Arial" w:cs="Arial"/>
            <w:noProof/>
            <w:webHidden/>
          </w:rPr>
          <w:fldChar w:fldCharType="end"/>
        </w:r>
      </w:hyperlink>
    </w:p>
    <w:p w14:paraId="5CBD5108" w14:textId="30E163D0"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19" w:history="1">
        <w:r w:rsidRPr="00956625">
          <w:rPr>
            <w:rStyle w:val="Hyperlink"/>
            <w:rFonts w:ascii="Arial" w:hAnsi="Arial" w:cs="Arial"/>
            <w:noProof/>
          </w:rPr>
          <w:t>7.2 Data limitations of business counts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_Toc167188619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12</w:t>
        </w:r>
        <w:r w:rsidRPr="00956625">
          <w:rPr>
            <w:rFonts w:ascii="Arial" w:hAnsi="Arial" w:cs="Arial"/>
            <w:noProof/>
            <w:webHidden/>
          </w:rPr>
          <w:fldChar w:fldCharType="end"/>
        </w:r>
      </w:hyperlink>
    </w:p>
    <w:p w14:paraId="65DA9565" w14:textId="33BED192" w:rsidR="00BE1D31" w:rsidRPr="00956625" w:rsidRDefault="00BE1D31">
      <w:pPr>
        <w:pStyle w:val="TOC1"/>
        <w:tabs>
          <w:tab w:val="left" w:pos="440"/>
          <w:tab w:val="right" w:leader="dot" w:pos="9771"/>
        </w:tabs>
        <w:rPr>
          <w:rFonts w:ascii="Arial" w:eastAsiaTheme="minorEastAsia" w:hAnsi="Arial" w:cs="Arial"/>
          <w:noProof/>
          <w:kern w:val="2"/>
          <w:lang w:eastAsia="en-AU"/>
          <w14:ligatures w14:val="standardContextual"/>
        </w:rPr>
      </w:pPr>
      <w:hyperlink w:anchor="_Toc167188620" w:history="1">
        <w:r w:rsidRPr="00956625">
          <w:rPr>
            <w:rStyle w:val="Hyperlink"/>
            <w:rFonts w:ascii="Arial" w:hAnsi="Arial" w:cs="Arial"/>
            <w:noProof/>
          </w:rPr>
          <w:t>8.</w:t>
        </w:r>
        <w:r w:rsidRPr="00956625">
          <w:rPr>
            <w:rFonts w:ascii="Arial" w:eastAsiaTheme="minorEastAsia" w:hAnsi="Arial" w:cs="Arial"/>
            <w:noProof/>
            <w:kern w:val="2"/>
            <w:lang w:eastAsia="en-AU"/>
            <w14:ligatures w14:val="standardContextual"/>
          </w:rPr>
          <w:tab/>
        </w:r>
        <w:r w:rsidRPr="00956625">
          <w:rPr>
            <w:rStyle w:val="Hyperlink"/>
            <w:rFonts w:ascii="Arial" w:hAnsi="Arial" w:cs="Arial"/>
            <w:noProof/>
          </w:rPr>
          <w:t>Tourism investment monitor</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_Toc167188620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12</w:t>
        </w:r>
        <w:r w:rsidRPr="00956625">
          <w:rPr>
            <w:rFonts w:ascii="Arial" w:hAnsi="Arial" w:cs="Arial"/>
            <w:noProof/>
            <w:webHidden/>
          </w:rPr>
          <w:fldChar w:fldCharType="end"/>
        </w:r>
      </w:hyperlink>
    </w:p>
    <w:p w14:paraId="0DA22D58" w14:textId="01FD64A0"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21" w:history="1">
        <w:r w:rsidRPr="00956625">
          <w:rPr>
            <w:rStyle w:val="Hyperlink"/>
            <w:rFonts w:ascii="Arial" w:hAnsi="Arial" w:cs="Arial"/>
            <w:noProof/>
          </w:rPr>
          <w:t>8.1 Methodology</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_Toc167188621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13</w:t>
        </w:r>
        <w:r w:rsidRPr="00956625">
          <w:rPr>
            <w:rFonts w:ascii="Arial" w:hAnsi="Arial" w:cs="Arial"/>
            <w:noProof/>
            <w:webHidden/>
          </w:rPr>
          <w:fldChar w:fldCharType="end"/>
        </w:r>
      </w:hyperlink>
    </w:p>
    <w:p w14:paraId="21B240CB" w14:textId="4900A238" w:rsidR="00BE1D31" w:rsidRPr="00956625" w:rsidRDefault="00BE1D31">
      <w:pPr>
        <w:pStyle w:val="TOC2"/>
        <w:tabs>
          <w:tab w:val="right" w:leader="dot" w:pos="9771"/>
        </w:tabs>
        <w:rPr>
          <w:rFonts w:ascii="Arial" w:eastAsiaTheme="minorEastAsia" w:hAnsi="Arial" w:cs="Arial"/>
          <w:noProof/>
          <w:kern w:val="2"/>
          <w:lang w:eastAsia="en-AU"/>
          <w14:ligatures w14:val="standardContextual"/>
        </w:rPr>
      </w:pPr>
      <w:hyperlink w:anchor="_Toc167188622" w:history="1">
        <w:r w:rsidRPr="00956625">
          <w:rPr>
            <w:rStyle w:val="Hyperlink"/>
            <w:rFonts w:ascii="Arial" w:hAnsi="Arial" w:cs="Arial"/>
            <w:noProof/>
          </w:rPr>
          <w:t>8.2 Data limitations</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_Toc167188622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13</w:t>
        </w:r>
        <w:r w:rsidRPr="00956625">
          <w:rPr>
            <w:rFonts w:ascii="Arial" w:hAnsi="Arial" w:cs="Arial"/>
            <w:noProof/>
            <w:webHidden/>
          </w:rPr>
          <w:fldChar w:fldCharType="end"/>
        </w:r>
      </w:hyperlink>
    </w:p>
    <w:p w14:paraId="4E6C6B96" w14:textId="217D7F14" w:rsidR="00BE1D31" w:rsidRPr="00956625" w:rsidRDefault="00BE1D31">
      <w:pPr>
        <w:pStyle w:val="TOC1"/>
        <w:tabs>
          <w:tab w:val="left" w:pos="440"/>
          <w:tab w:val="right" w:leader="dot" w:pos="9771"/>
        </w:tabs>
        <w:rPr>
          <w:rFonts w:ascii="Arial" w:eastAsiaTheme="minorEastAsia" w:hAnsi="Arial" w:cs="Arial"/>
          <w:noProof/>
          <w:kern w:val="2"/>
          <w:lang w:eastAsia="en-AU"/>
          <w14:ligatures w14:val="standardContextual"/>
        </w:rPr>
      </w:pPr>
      <w:hyperlink w:anchor="_Toc167188623" w:history="1">
        <w:r w:rsidRPr="00956625">
          <w:rPr>
            <w:rStyle w:val="Hyperlink"/>
            <w:rFonts w:ascii="Arial" w:hAnsi="Arial" w:cs="Arial"/>
            <w:noProof/>
          </w:rPr>
          <w:t>9.</w:t>
        </w:r>
        <w:r w:rsidRPr="00956625">
          <w:rPr>
            <w:rFonts w:ascii="Arial" w:eastAsiaTheme="minorEastAsia" w:hAnsi="Arial" w:cs="Arial"/>
            <w:noProof/>
            <w:kern w:val="2"/>
            <w:lang w:eastAsia="en-AU"/>
            <w14:ligatures w14:val="standardContextual"/>
          </w:rPr>
          <w:tab/>
        </w:r>
        <w:r w:rsidRPr="00956625">
          <w:rPr>
            <w:rStyle w:val="Hyperlink"/>
            <w:rFonts w:ascii="Arial" w:hAnsi="Arial" w:cs="Arial"/>
            <w:noProof/>
          </w:rPr>
          <w:t>Data disclaimer</w:t>
        </w:r>
        <w:r w:rsidRPr="00956625">
          <w:rPr>
            <w:rFonts w:ascii="Arial" w:hAnsi="Arial" w:cs="Arial"/>
            <w:noProof/>
            <w:webHidden/>
          </w:rPr>
          <w:tab/>
        </w:r>
        <w:r w:rsidRPr="00956625">
          <w:rPr>
            <w:rFonts w:ascii="Arial" w:hAnsi="Arial" w:cs="Arial"/>
            <w:noProof/>
            <w:webHidden/>
          </w:rPr>
          <w:fldChar w:fldCharType="begin"/>
        </w:r>
        <w:r w:rsidRPr="00956625">
          <w:rPr>
            <w:rFonts w:ascii="Arial" w:hAnsi="Arial" w:cs="Arial"/>
            <w:noProof/>
            <w:webHidden/>
          </w:rPr>
          <w:instrText xml:space="preserve"> PAGEREF _Toc167188623 \h </w:instrText>
        </w:r>
        <w:r w:rsidRPr="00956625">
          <w:rPr>
            <w:rFonts w:ascii="Arial" w:hAnsi="Arial" w:cs="Arial"/>
            <w:noProof/>
            <w:webHidden/>
          </w:rPr>
        </w:r>
        <w:r w:rsidRPr="00956625">
          <w:rPr>
            <w:rFonts w:ascii="Arial" w:hAnsi="Arial" w:cs="Arial"/>
            <w:noProof/>
            <w:webHidden/>
          </w:rPr>
          <w:fldChar w:fldCharType="separate"/>
        </w:r>
        <w:r w:rsidRPr="00956625">
          <w:rPr>
            <w:rFonts w:ascii="Arial" w:hAnsi="Arial" w:cs="Arial"/>
            <w:noProof/>
            <w:webHidden/>
          </w:rPr>
          <w:t>13</w:t>
        </w:r>
        <w:r w:rsidRPr="00956625">
          <w:rPr>
            <w:rFonts w:ascii="Arial" w:hAnsi="Arial" w:cs="Arial"/>
            <w:noProof/>
            <w:webHidden/>
          </w:rPr>
          <w:fldChar w:fldCharType="end"/>
        </w:r>
      </w:hyperlink>
    </w:p>
    <w:p w14:paraId="3313B68F" w14:textId="6006539F" w:rsidR="009C715E" w:rsidRPr="004C3673" w:rsidRDefault="007546C9" w:rsidP="004C3673">
      <w:pPr>
        <w:tabs>
          <w:tab w:val="left" w:pos="7300"/>
        </w:tabs>
        <w:rPr>
          <w:rFonts w:ascii="Arial" w:hAnsi="Arial" w:cs="Arial"/>
        </w:rPr>
        <w:sectPr w:rsidR="009C715E" w:rsidRPr="004C3673" w:rsidSect="00956625">
          <w:headerReference w:type="default" r:id="rId10"/>
          <w:footerReference w:type="default" r:id="rId11"/>
          <w:pgSz w:w="11906" w:h="16838"/>
          <w:pgMar w:top="993" w:right="991" w:bottom="851" w:left="1134" w:header="708" w:footer="227" w:gutter="0"/>
          <w:cols w:space="708"/>
          <w:docGrid w:linePitch="360"/>
        </w:sectPr>
      </w:pPr>
      <w:r w:rsidRPr="00301E77">
        <w:rPr>
          <w:rFonts w:ascii="Arial" w:hAnsi="Arial" w:cs="Arial"/>
        </w:rPr>
        <w:fldChar w:fldCharType="end"/>
      </w:r>
    </w:p>
    <w:p w14:paraId="2B43A916" w14:textId="750A185A" w:rsidR="00E10F32" w:rsidRDefault="00E10F32">
      <w:pPr>
        <w:rPr>
          <w:rFonts w:ascii="Arial" w:eastAsiaTheme="majorEastAsia" w:hAnsi="Arial" w:cs="Arial"/>
          <w:color w:val="2F5496" w:themeColor="accent1" w:themeShade="BF"/>
          <w:sz w:val="32"/>
          <w:szCs w:val="32"/>
        </w:rPr>
      </w:pPr>
      <w:r>
        <w:rPr>
          <w:rFonts w:ascii="Arial" w:hAnsi="Arial" w:cs="Arial"/>
        </w:rPr>
        <w:br w:type="page"/>
      </w:r>
    </w:p>
    <w:p w14:paraId="30D75C2D" w14:textId="3508BCE7" w:rsidR="00E44444" w:rsidRPr="009862F5" w:rsidRDefault="00E00D9D" w:rsidP="00BE1D31">
      <w:pPr>
        <w:pStyle w:val="Heading1"/>
        <w:numPr>
          <w:ilvl w:val="0"/>
          <w:numId w:val="9"/>
        </w:numPr>
        <w:rPr>
          <w:rFonts w:ascii="Arial" w:hAnsi="Arial" w:cs="Arial"/>
          <w:color w:val="002060"/>
        </w:rPr>
      </w:pPr>
      <w:bookmarkStart w:id="16" w:name="_Toc167188595"/>
      <w:r w:rsidRPr="009862F5">
        <w:rPr>
          <w:rFonts w:ascii="Arial" w:hAnsi="Arial" w:cs="Arial"/>
          <w:color w:val="002060"/>
        </w:rPr>
        <w:lastRenderedPageBreak/>
        <w:t>Tourism data definitions</w:t>
      </w:r>
      <w:bookmarkEnd w:id="16"/>
    </w:p>
    <w:p w14:paraId="2440C6D5" w14:textId="77777777" w:rsidR="00941C52" w:rsidRPr="004C3673" w:rsidRDefault="00941C52" w:rsidP="00BE1D31">
      <w:pPr>
        <w:pStyle w:val="ListParagraph"/>
        <w:numPr>
          <w:ilvl w:val="0"/>
          <w:numId w:val="4"/>
        </w:numPr>
        <w:spacing w:before="120" w:after="120"/>
        <w:contextualSpacing w:val="0"/>
        <w:rPr>
          <w:rFonts w:ascii="Arial" w:hAnsi="Arial" w:cs="Arial"/>
        </w:rPr>
      </w:pPr>
      <w:r w:rsidRPr="004C3673">
        <w:rPr>
          <w:rFonts w:ascii="Arial" w:hAnsi="Arial" w:cs="Arial"/>
        </w:rPr>
        <w:t xml:space="preserve">A tourist (in accordance with the United Nations World Tourism Organization) is defined as someone who is away from home for less than one year continuously, for the purposes of leisure (including holiday and visiting friends and/or relatives), business, education, </w:t>
      </w:r>
      <w:proofErr w:type="gramStart"/>
      <w:r w:rsidRPr="004C3673">
        <w:rPr>
          <w:rFonts w:ascii="Arial" w:hAnsi="Arial" w:cs="Arial"/>
        </w:rPr>
        <w:t>employment</w:t>
      </w:r>
      <w:proofErr w:type="gramEnd"/>
      <w:r w:rsidRPr="004C3673">
        <w:rPr>
          <w:rFonts w:ascii="Arial" w:hAnsi="Arial" w:cs="Arial"/>
        </w:rPr>
        <w:t xml:space="preserve"> or other personal reason, other than to be employed by a resident entity in the country or place visited.</w:t>
      </w:r>
    </w:p>
    <w:p w14:paraId="64188D3A" w14:textId="77777777" w:rsidR="00941C52" w:rsidRPr="004C3673" w:rsidRDefault="00941C52" w:rsidP="00BE1D31">
      <w:pPr>
        <w:pStyle w:val="ListParagraph"/>
        <w:numPr>
          <w:ilvl w:val="0"/>
          <w:numId w:val="4"/>
        </w:numPr>
        <w:spacing w:before="120" w:after="120"/>
        <w:contextualSpacing w:val="0"/>
        <w:rPr>
          <w:rFonts w:ascii="Arial" w:hAnsi="Arial" w:cs="Arial"/>
        </w:rPr>
      </w:pPr>
      <w:r w:rsidRPr="004C3673">
        <w:rPr>
          <w:rFonts w:ascii="Arial" w:hAnsi="Arial" w:cs="Arial"/>
        </w:rPr>
        <w:t>Average annual growth (AAG) is a calculation of the average annual increase or decrease over a specified number of years.</w:t>
      </w:r>
    </w:p>
    <w:p w14:paraId="1CEEDE96" w14:textId="7C94B183" w:rsidR="00941C52" w:rsidRPr="004C3673" w:rsidRDefault="00941C52" w:rsidP="00BE1D31">
      <w:pPr>
        <w:pStyle w:val="ListParagraph"/>
        <w:numPr>
          <w:ilvl w:val="0"/>
          <w:numId w:val="4"/>
        </w:numPr>
        <w:spacing w:before="120" w:after="120"/>
        <w:contextualSpacing w:val="0"/>
        <w:rPr>
          <w:rFonts w:ascii="Arial" w:hAnsi="Arial" w:cs="Arial"/>
        </w:rPr>
      </w:pPr>
      <w:r w:rsidRPr="004C3673">
        <w:rPr>
          <w:rFonts w:ascii="Arial" w:hAnsi="Arial" w:cs="Arial"/>
        </w:rPr>
        <w:t xml:space="preserve">Domestic </w:t>
      </w:r>
      <w:r w:rsidR="00226308" w:rsidRPr="004C3673">
        <w:rPr>
          <w:rFonts w:ascii="Arial" w:hAnsi="Arial" w:cs="Arial"/>
        </w:rPr>
        <w:t>d</w:t>
      </w:r>
      <w:r w:rsidRPr="004C3673">
        <w:rPr>
          <w:rFonts w:ascii="Arial" w:hAnsi="Arial" w:cs="Arial"/>
        </w:rPr>
        <w:t xml:space="preserve">ay </w:t>
      </w:r>
      <w:r w:rsidR="00226308" w:rsidRPr="004C3673">
        <w:rPr>
          <w:rFonts w:ascii="Arial" w:hAnsi="Arial" w:cs="Arial"/>
        </w:rPr>
        <w:t>t</w:t>
      </w:r>
      <w:r w:rsidRPr="004C3673">
        <w:rPr>
          <w:rFonts w:ascii="Arial" w:hAnsi="Arial" w:cs="Arial"/>
        </w:rPr>
        <w:t>rip visitors are those who have travelled for a round trip distance of at least 50km, are away from home for at least 4 hours and do not spend a night away from home as part of their travel. Same day travel as part of overnight travel is excluded, as is routine travel such as commuting between work or school and home.</w:t>
      </w:r>
    </w:p>
    <w:p w14:paraId="12DDE548" w14:textId="2B1974C9" w:rsidR="00941C52" w:rsidRPr="004C3673" w:rsidRDefault="00941C52" w:rsidP="00BE1D31">
      <w:pPr>
        <w:pStyle w:val="ListParagraph"/>
        <w:numPr>
          <w:ilvl w:val="0"/>
          <w:numId w:val="4"/>
        </w:numPr>
        <w:spacing w:before="120" w:after="120"/>
        <w:contextualSpacing w:val="0"/>
        <w:rPr>
          <w:rFonts w:ascii="Arial" w:hAnsi="Arial" w:cs="Arial"/>
        </w:rPr>
      </w:pPr>
      <w:r w:rsidRPr="004C3673">
        <w:rPr>
          <w:rFonts w:ascii="Arial" w:hAnsi="Arial" w:cs="Arial"/>
        </w:rPr>
        <w:t xml:space="preserve">Domestic </w:t>
      </w:r>
      <w:r w:rsidR="00226308" w:rsidRPr="004C3673">
        <w:rPr>
          <w:rFonts w:ascii="Arial" w:hAnsi="Arial" w:cs="Arial"/>
        </w:rPr>
        <w:t>o</w:t>
      </w:r>
      <w:r w:rsidRPr="004C3673">
        <w:rPr>
          <w:rFonts w:ascii="Arial" w:hAnsi="Arial" w:cs="Arial"/>
        </w:rPr>
        <w:t xml:space="preserve">vernight </w:t>
      </w:r>
      <w:r w:rsidR="00226308" w:rsidRPr="004C3673">
        <w:rPr>
          <w:rFonts w:ascii="Arial" w:hAnsi="Arial" w:cs="Arial"/>
        </w:rPr>
        <w:t>v</w:t>
      </w:r>
      <w:r w:rsidRPr="004C3673">
        <w:rPr>
          <w:rFonts w:ascii="Arial" w:hAnsi="Arial" w:cs="Arial"/>
        </w:rPr>
        <w:t>isitors are those who have taken a trip away from home for at least one night (and less than one year), at a place at least 40km from home. A person is a visitor to a location if they stay one or more nights in the location while travelling.</w:t>
      </w:r>
    </w:p>
    <w:p w14:paraId="65B1A4E4" w14:textId="0A0CD86B" w:rsidR="00941C52" w:rsidRPr="004C3673" w:rsidRDefault="00941C52" w:rsidP="00BE1D31">
      <w:pPr>
        <w:pStyle w:val="ListParagraph"/>
        <w:numPr>
          <w:ilvl w:val="0"/>
          <w:numId w:val="4"/>
        </w:numPr>
        <w:spacing w:before="120" w:after="120"/>
        <w:contextualSpacing w:val="0"/>
        <w:rPr>
          <w:rFonts w:ascii="Arial" w:hAnsi="Arial" w:cs="Arial"/>
        </w:rPr>
      </w:pPr>
      <w:r w:rsidRPr="004C3673">
        <w:rPr>
          <w:rFonts w:ascii="Arial" w:hAnsi="Arial" w:cs="Arial"/>
        </w:rPr>
        <w:t xml:space="preserve">International </w:t>
      </w:r>
      <w:r w:rsidR="00226308" w:rsidRPr="004C3673">
        <w:rPr>
          <w:rFonts w:ascii="Arial" w:hAnsi="Arial" w:cs="Arial"/>
        </w:rPr>
        <w:t>o</w:t>
      </w:r>
      <w:r w:rsidRPr="004C3673">
        <w:rPr>
          <w:rFonts w:ascii="Arial" w:hAnsi="Arial" w:cs="Arial"/>
        </w:rPr>
        <w:t xml:space="preserve">vernight </w:t>
      </w:r>
      <w:r w:rsidR="00226308" w:rsidRPr="004C3673">
        <w:rPr>
          <w:rFonts w:ascii="Arial" w:hAnsi="Arial" w:cs="Arial"/>
        </w:rPr>
        <w:t>v</w:t>
      </w:r>
      <w:r w:rsidRPr="004C3673">
        <w:rPr>
          <w:rFonts w:ascii="Arial" w:hAnsi="Arial" w:cs="Arial"/>
        </w:rPr>
        <w:t xml:space="preserve">isitors have stayed in Australian for less than one year and are departing through one of the eight major international airports. Passengers who depart via another gateway, or via other transport methods such as cruise ships are not captured within the survey however are included in the benchmarked results (please refer to International Visitor Survey methodology). </w:t>
      </w:r>
    </w:p>
    <w:p w14:paraId="72DA5455" w14:textId="2318724A" w:rsidR="00C95A39" w:rsidRPr="004C3673" w:rsidRDefault="00941C52" w:rsidP="00BE1D31">
      <w:pPr>
        <w:pStyle w:val="ListParagraph"/>
        <w:numPr>
          <w:ilvl w:val="0"/>
          <w:numId w:val="4"/>
        </w:numPr>
        <w:spacing w:after="240"/>
        <w:contextualSpacing w:val="0"/>
        <w:rPr>
          <w:rFonts w:ascii="Arial" w:hAnsi="Arial" w:cs="Arial"/>
        </w:rPr>
      </w:pPr>
      <w:r w:rsidRPr="004C3673">
        <w:rPr>
          <w:rFonts w:ascii="Arial" w:hAnsi="Arial" w:cs="Arial"/>
        </w:rPr>
        <w:t>Net visitor numbers are reported within each geographic region</w:t>
      </w:r>
      <w:r w:rsidR="00AA3635" w:rsidRPr="004C3673">
        <w:rPr>
          <w:rFonts w:ascii="Arial" w:hAnsi="Arial" w:cs="Arial"/>
        </w:rPr>
        <w:t>.</w:t>
      </w:r>
      <w:r w:rsidRPr="004C3673">
        <w:rPr>
          <w:rFonts w:ascii="Arial" w:hAnsi="Arial" w:cs="Arial"/>
        </w:rPr>
        <w:t xml:space="preserve"> </w:t>
      </w:r>
      <w:r w:rsidR="00AA3635" w:rsidRPr="004C3673">
        <w:rPr>
          <w:rFonts w:ascii="Arial" w:hAnsi="Arial" w:cs="Arial"/>
        </w:rPr>
        <w:t>F</w:t>
      </w:r>
      <w:r w:rsidRPr="004C3673">
        <w:rPr>
          <w:rFonts w:ascii="Arial" w:hAnsi="Arial" w:cs="Arial"/>
        </w:rPr>
        <w:t xml:space="preserve">or example, if a visitor has a stopover of one night in Benalla and one night in Wangaratta, they are counted as a single visitor to the </w:t>
      </w:r>
      <w:proofErr w:type="gramStart"/>
      <w:r w:rsidRPr="004C3673">
        <w:rPr>
          <w:rFonts w:ascii="Arial" w:hAnsi="Arial" w:cs="Arial"/>
        </w:rPr>
        <w:t>High</w:t>
      </w:r>
      <w:r w:rsidR="00C630E2" w:rsidRPr="004C3673">
        <w:rPr>
          <w:rFonts w:ascii="Arial" w:hAnsi="Arial" w:cs="Arial"/>
        </w:rPr>
        <w:t xml:space="preserve"> </w:t>
      </w:r>
      <w:r w:rsidRPr="004C3673">
        <w:rPr>
          <w:rFonts w:ascii="Arial" w:hAnsi="Arial" w:cs="Arial"/>
        </w:rPr>
        <w:t>Country</w:t>
      </w:r>
      <w:proofErr w:type="gramEnd"/>
      <w:r w:rsidRPr="004C3673">
        <w:rPr>
          <w:rFonts w:ascii="Arial" w:hAnsi="Arial" w:cs="Arial"/>
        </w:rPr>
        <w:t xml:space="preserve"> region.</w:t>
      </w:r>
      <w:r w:rsidR="00C03F81" w:rsidRPr="004C3673">
        <w:rPr>
          <w:rFonts w:ascii="Arial" w:hAnsi="Arial" w:cs="Arial"/>
          <w:color w:val="000000"/>
          <w:sz w:val="26"/>
          <w:szCs w:val="26"/>
          <w:shd w:val="clear" w:color="auto" w:fill="FFFFFF"/>
        </w:rPr>
        <w:t xml:space="preserve"> </w:t>
      </w:r>
      <w:r w:rsidR="00C95A39" w:rsidRPr="004C3673">
        <w:rPr>
          <w:rFonts w:ascii="Arial" w:hAnsi="Arial" w:cs="Arial"/>
        </w:rPr>
        <w:t>Visitors to different locations can't be added as some people may visit multiple locations and you may double count and overestimate visitor numbers</w:t>
      </w:r>
      <w:r w:rsidR="00931169" w:rsidRPr="004C3673">
        <w:rPr>
          <w:rFonts w:ascii="Arial" w:hAnsi="Arial" w:cs="Arial"/>
        </w:rPr>
        <w:t xml:space="preserve">. For </w:t>
      </w:r>
      <w:r w:rsidR="00715AD4" w:rsidRPr="004C3673">
        <w:rPr>
          <w:rFonts w:ascii="Arial" w:hAnsi="Arial" w:cs="Arial"/>
        </w:rPr>
        <w:t>example,</w:t>
      </w:r>
      <w:r w:rsidR="00931169" w:rsidRPr="004C3673">
        <w:rPr>
          <w:rFonts w:ascii="Arial" w:hAnsi="Arial" w:cs="Arial"/>
        </w:rPr>
        <w:t xml:space="preserve"> visitors to Melbourne and regional Victoria may not add up to the Victoria total.</w:t>
      </w:r>
      <w:r w:rsidR="00C95A39" w:rsidRPr="004C3673">
        <w:rPr>
          <w:rFonts w:ascii="Arial" w:hAnsi="Arial" w:cs="Arial"/>
        </w:rPr>
        <w:t xml:space="preserve"> </w:t>
      </w:r>
    </w:p>
    <w:p w14:paraId="6D15658F" w14:textId="30C19BA8" w:rsidR="00C03F81" w:rsidRPr="004C3673" w:rsidRDefault="00941C52" w:rsidP="00BE1D31">
      <w:pPr>
        <w:pStyle w:val="ListParagraph"/>
        <w:numPr>
          <w:ilvl w:val="0"/>
          <w:numId w:val="4"/>
        </w:numPr>
        <w:spacing w:before="120" w:after="240"/>
        <w:contextualSpacing w:val="0"/>
        <w:rPr>
          <w:rStyle w:val="markedcontent"/>
          <w:rFonts w:ascii="Arial" w:hAnsi="Arial" w:cs="Arial"/>
        </w:rPr>
      </w:pPr>
      <w:r w:rsidRPr="004C3673">
        <w:rPr>
          <w:rFonts w:ascii="Arial" w:hAnsi="Arial" w:cs="Arial"/>
        </w:rPr>
        <w:t xml:space="preserve">Tourism spend is a measure of spend on tourism activity by visitors. The NVS and IVS only collect spend for the respondent’s entire journey, not individual stops. </w:t>
      </w:r>
      <w:r w:rsidR="00FF5D05" w:rsidRPr="004C3673">
        <w:rPr>
          <w:rFonts w:ascii="Arial" w:hAnsi="Arial" w:cs="Arial"/>
        </w:rPr>
        <w:t>To</w:t>
      </w:r>
      <w:r w:rsidRPr="004C3673">
        <w:rPr>
          <w:rFonts w:ascii="Arial" w:hAnsi="Arial" w:cs="Arial"/>
        </w:rPr>
        <w:t xml:space="preserve"> determine the impact that the visitor activity is having on a particular region, Tourism Research Australia </w:t>
      </w:r>
      <w:r w:rsidR="00860168" w:rsidRPr="004C3673">
        <w:rPr>
          <w:rFonts w:ascii="Arial" w:hAnsi="Arial" w:cs="Arial"/>
        </w:rPr>
        <w:t xml:space="preserve">(TRA) </w:t>
      </w:r>
      <w:r w:rsidRPr="004C3673">
        <w:rPr>
          <w:rFonts w:ascii="Arial" w:hAnsi="Arial" w:cs="Arial"/>
        </w:rPr>
        <w:t>uses a model-based approach to allocate visitors spend to Australia’s tourism regions.</w:t>
      </w:r>
      <w:r w:rsidR="00C03F81" w:rsidRPr="004C3673">
        <w:rPr>
          <w:rFonts w:ascii="Arial" w:hAnsi="Arial" w:cs="Arial"/>
        </w:rPr>
        <w:t xml:space="preserve"> </w:t>
      </w:r>
    </w:p>
    <w:p w14:paraId="7DD97A7A" w14:textId="69506AA0" w:rsidR="00941C52" w:rsidRPr="004C3673" w:rsidRDefault="00941C52" w:rsidP="00BE1D31">
      <w:pPr>
        <w:pStyle w:val="ListParagraph"/>
        <w:numPr>
          <w:ilvl w:val="0"/>
          <w:numId w:val="4"/>
        </w:numPr>
        <w:spacing w:before="120" w:after="120"/>
        <w:contextualSpacing w:val="0"/>
        <w:rPr>
          <w:rFonts w:ascii="Arial" w:hAnsi="Arial" w:cs="Arial"/>
        </w:rPr>
      </w:pPr>
      <w:r w:rsidRPr="004C3673">
        <w:rPr>
          <w:rFonts w:ascii="Arial" w:hAnsi="Arial" w:cs="Arial"/>
        </w:rPr>
        <w:t xml:space="preserve">Tourism regions: Tourism and Events primarily reports on Victoria’s 12 tourism regions, including Melbourne. Some larger tourism regions also contain sub-regions. Each region/ sub-region is defined using smaller geographical building blocks called Statistical Areas Level 2 (SA2s) developed by the Australian Bureau of Statistics (ABS). SA2s do not precisely align with the boundaries of Local Government Areas (LGAs).  A map of Victoria’s sub-regions is available at </w:t>
      </w:r>
      <w:hyperlink r:id="rId12" w:history="1">
        <w:r w:rsidRPr="004C3673">
          <w:rPr>
            <w:rStyle w:val="Hyperlink"/>
            <w:rFonts w:ascii="Arial" w:hAnsi="Arial" w:cs="Arial"/>
          </w:rPr>
          <w:t>Tourism Research Australia.</w:t>
        </w:r>
      </w:hyperlink>
      <w:r w:rsidRPr="004C3673">
        <w:rPr>
          <w:rFonts w:ascii="Arial" w:hAnsi="Arial" w:cs="Arial"/>
        </w:rPr>
        <w:t xml:space="preserve"> A geographic mapping tool which enables comparisons of different types of geographic regions is available at the </w:t>
      </w:r>
      <w:hyperlink r:id="rId13" w:history="1">
        <w:r w:rsidRPr="00287462">
          <w:rPr>
            <w:rStyle w:val="Hyperlink"/>
            <w:rFonts w:ascii="Arial" w:hAnsi="Arial" w:cs="Arial"/>
          </w:rPr>
          <w:t>Australian Bureau of Statistics</w:t>
        </w:r>
      </w:hyperlink>
      <w:r w:rsidRPr="004C3673">
        <w:rPr>
          <w:rFonts w:ascii="Arial" w:hAnsi="Arial" w:cs="Arial"/>
        </w:rPr>
        <w:t>.</w:t>
      </w:r>
    </w:p>
    <w:p w14:paraId="17086E29" w14:textId="3178880C" w:rsidR="00E00D9D" w:rsidRPr="004C3673" w:rsidRDefault="00941C52" w:rsidP="00BE1D31">
      <w:pPr>
        <w:pStyle w:val="ListParagraph"/>
        <w:numPr>
          <w:ilvl w:val="0"/>
          <w:numId w:val="4"/>
        </w:numPr>
        <w:spacing w:before="120" w:after="120"/>
        <w:contextualSpacing w:val="0"/>
        <w:rPr>
          <w:rFonts w:ascii="Arial" w:hAnsi="Arial" w:cs="Arial"/>
        </w:rPr>
      </w:pPr>
      <w:r w:rsidRPr="004C3673">
        <w:rPr>
          <w:rFonts w:ascii="Arial" w:hAnsi="Arial" w:cs="Arial"/>
        </w:rPr>
        <w:t xml:space="preserve">Visitor nights is a measure of the total number of nights spent by overnight visitors on overnight trips (e.g., one visitor can spend several nights away). </w:t>
      </w:r>
      <w:r w:rsidR="00B759EF" w:rsidRPr="004C3673">
        <w:rPr>
          <w:rFonts w:ascii="Arial" w:hAnsi="Arial" w:cs="Arial"/>
        </w:rPr>
        <w:t>The nights of visitors can be added as they are mutually exclusive.</w:t>
      </w:r>
    </w:p>
    <w:p w14:paraId="14684837" w14:textId="77777777" w:rsidR="002D74B9" w:rsidRDefault="002D74B9">
      <w:pPr>
        <w:rPr>
          <w:rFonts w:ascii="Arial" w:eastAsiaTheme="majorEastAsia" w:hAnsi="Arial" w:cs="Arial"/>
          <w:color w:val="2F5496" w:themeColor="accent1" w:themeShade="BF"/>
          <w:sz w:val="32"/>
          <w:szCs w:val="32"/>
        </w:rPr>
      </w:pPr>
      <w:r>
        <w:rPr>
          <w:rFonts w:ascii="Arial" w:hAnsi="Arial" w:cs="Arial"/>
        </w:rPr>
        <w:br w:type="page"/>
      </w:r>
    </w:p>
    <w:p w14:paraId="3E8D9406" w14:textId="69A56224" w:rsidR="00BE2543" w:rsidRPr="009862F5" w:rsidRDefault="00A7302D" w:rsidP="00BE2543">
      <w:pPr>
        <w:pStyle w:val="Heading1"/>
        <w:rPr>
          <w:rFonts w:ascii="Arial" w:hAnsi="Arial" w:cs="Arial"/>
          <w:color w:val="002060"/>
        </w:rPr>
      </w:pPr>
      <w:bookmarkStart w:id="17" w:name="_Toc167188596"/>
      <w:r w:rsidRPr="009862F5">
        <w:rPr>
          <w:rFonts w:ascii="Arial" w:hAnsi="Arial" w:cs="Arial"/>
          <w:color w:val="002060"/>
        </w:rPr>
        <w:lastRenderedPageBreak/>
        <w:t xml:space="preserve">2. </w:t>
      </w:r>
      <w:r w:rsidR="00BE2543" w:rsidRPr="009862F5">
        <w:rPr>
          <w:rFonts w:ascii="Arial" w:hAnsi="Arial" w:cs="Arial"/>
          <w:color w:val="002060"/>
        </w:rPr>
        <w:t>National Visitor Survey (NVS)</w:t>
      </w:r>
      <w:bookmarkEnd w:id="17"/>
    </w:p>
    <w:p w14:paraId="1C4110E5" w14:textId="77777777" w:rsidR="00C95FA4" w:rsidRPr="009862F5" w:rsidRDefault="00C95FA4" w:rsidP="00D66A3C">
      <w:pPr>
        <w:rPr>
          <w:rFonts w:ascii="Arial" w:hAnsi="Arial" w:cs="Arial"/>
          <w:color w:val="002060"/>
          <w:sz w:val="16"/>
          <w:szCs w:val="16"/>
        </w:rPr>
      </w:pPr>
    </w:p>
    <w:p w14:paraId="45C20477" w14:textId="24C0C836" w:rsidR="003A50CD" w:rsidRPr="009862F5" w:rsidRDefault="00A7302D" w:rsidP="00D66A3C">
      <w:pPr>
        <w:pStyle w:val="Heading2"/>
        <w:rPr>
          <w:rFonts w:ascii="Arial" w:hAnsi="Arial" w:cs="Arial"/>
          <w:color w:val="002060"/>
        </w:rPr>
      </w:pPr>
      <w:bookmarkStart w:id="18" w:name="_Toc167188597"/>
      <w:r w:rsidRPr="009862F5">
        <w:rPr>
          <w:rFonts w:ascii="Arial" w:hAnsi="Arial" w:cs="Arial"/>
          <w:color w:val="002060"/>
        </w:rPr>
        <w:t xml:space="preserve">2.1 </w:t>
      </w:r>
      <w:r w:rsidR="003A50CD" w:rsidRPr="009862F5">
        <w:rPr>
          <w:rFonts w:ascii="Arial" w:hAnsi="Arial" w:cs="Arial"/>
          <w:color w:val="002060"/>
        </w:rPr>
        <w:t xml:space="preserve">NVS </w:t>
      </w:r>
      <w:r w:rsidR="003672E4" w:rsidRPr="009862F5">
        <w:rPr>
          <w:rFonts w:ascii="Arial" w:hAnsi="Arial" w:cs="Arial"/>
          <w:color w:val="002060"/>
        </w:rPr>
        <w:t>s</w:t>
      </w:r>
      <w:r w:rsidR="003A50CD" w:rsidRPr="009862F5">
        <w:rPr>
          <w:rFonts w:ascii="Arial" w:hAnsi="Arial" w:cs="Arial"/>
          <w:color w:val="002060"/>
        </w:rPr>
        <w:t xml:space="preserve">urvey </w:t>
      </w:r>
      <w:r w:rsidR="003672E4" w:rsidRPr="009862F5">
        <w:rPr>
          <w:rFonts w:ascii="Arial" w:hAnsi="Arial" w:cs="Arial"/>
          <w:color w:val="002060"/>
        </w:rPr>
        <w:t>m</w:t>
      </w:r>
      <w:r w:rsidR="003A50CD" w:rsidRPr="009862F5">
        <w:rPr>
          <w:rFonts w:ascii="Arial" w:hAnsi="Arial" w:cs="Arial"/>
          <w:color w:val="002060"/>
        </w:rPr>
        <w:t>ethodology</w:t>
      </w:r>
      <w:bookmarkEnd w:id="18"/>
    </w:p>
    <w:p w14:paraId="21E7435C" w14:textId="7A11BFC0"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The NVS commenced in 1998 to provide an official measure of travel by Australian residents.</w:t>
      </w:r>
    </w:p>
    <w:p w14:paraId="400FE92D" w14:textId="77777777"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NVS respondents are randomly sampled to be representative of the Australian population. NVS trip records are benchmarked to the ABS estimated resident populations according to their age group, </w:t>
      </w:r>
      <w:proofErr w:type="gramStart"/>
      <w:r w:rsidRPr="004C3673">
        <w:rPr>
          <w:rFonts w:ascii="Arial" w:hAnsi="Arial" w:cs="Arial"/>
        </w:rPr>
        <w:t>gender</w:t>
      </w:r>
      <w:proofErr w:type="gramEnd"/>
      <w:r w:rsidRPr="004C3673">
        <w:rPr>
          <w:rFonts w:ascii="Arial" w:hAnsi="Arial" w:cs="Arial"/>
        </w:rPr>
        <w:t xml:space="preserve"> and place of residence.</w:t>
      </w:r>
    </w:p>
    <w:p w14:paraId="3D714B80" w14:textId="77777777"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NVS interviews are conducted with people who have travelled for a range of purposes i.e., holiday, visiting friends and relatives (VFR), business, </w:t>
      </w:r>
      <w:proofErr w:type="gramStart"/>
      <w:r w:rsidRPr="004C3673">
        <w:rPr>
          <w:rFonts w:ascii="Arial" w:hAnsi="Arial" w:cs="Arial"/>
        </w:rPr>
        <w:t>education</w:t>
      </w:r>
      <w:proofErr w:type="gramEnd"/>
      <w:r w:rsidRPr="004C3673">
        <w:rPr>
          <w:rFonts w:ascii="Arial" w:hAnsi="Arial" w:cs="Arial"/>
        </w:rPr>
        <w:t xml:space="preserve"> and employment. Travellers must not have been away from home continuously for more than a year.</w:t>
      </w:r>
    </w:p>
    <w:p w14:paraId="3E6A3369" w14:textId="77777777"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The NVS is conducted with Australians aged 15 years or more by Computer-Assisted Telephone Interviewing (CATI). Over time, the CATI approach has evolved in response to changes in telecommunications and respondent behaviour.  </w:t>
      </w:r>
    </w:p>
    <w:p w14:paraId="0B4308AE" w14:textId="77777777" w:rsidR="003A50CD" w:rsidRPr="006A5372"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From 2019, all interviewing has been conducted via mobile phone (until 2013, all interviews were conducted via household landline and between 2014 and 2018, interviews were evenly split </w:t>
      </w:r>
      <w:r w:rsidRPr="006A5372">
        <w:rPr>
          <w:rFonts w:ascii="Arial" w:hAnsi="Arial" w:cs="Arial"/>
        </w:rPr>
        <w:t>between household landline and mobile phones).</w:t>
      </w:r>
    </w:p>
    <w:p w14:paraId="25B0C445" w14:textId="524074D5" w:rsidR="003A50CD" w:rsidRPr="006A5372" w:rsidRDefault="0078086C" w:rsidP="00BE1D31">
      <w:pPr>
        <w:pStyle w:val="ListParagraph"/>
        <w:numPr>
          <w:ilvl w:val="0"/>
          <w:numId w:val="7"/>
        </w:numPr>
        <w:spacing w:before="120" w:after="120"/>
        <w:rPr>
          <w:rFonts w:ascii="Arial" w:hAnsi="Arial" w:cs="Arial"/>
        </w:rPr>
      </w:pPr>
      <w:r w:rsidRPr="006A5372">
        <w:rPr>
          <w:rFonts w:ascii="Arial" w:hAnsi="Arial" w:cs="Arial"/>
        </w:rPr>
        <w:t>The</w:t>
      </w:r>
      <w:r w:rsidR="003A50CD" w:rsidRPr="006A5372">
        <w:rPr>
          <w:rFonts w:ascii="Arial" w:hAnsi="Arial" w:cs="Arial"/>
        </w:rPr>
        <w:t xml:space="preserve"> estimated sample for 202</w:t>
      </w:r>
      <w:r w:rsidRPr="006A5372">
        <w:rPr>
          <w:rFonts w:ascii="Arial" w:hAnsi="Arial" w:cs="Arial"/>
        </w:rPr>
        <w:t xml:space="preserve">3 was 75,000 and it is expected that </w:t>
      </w:r>
      <w:r w:rsidR="00094511" w:rsidRPr="006A5372">
        <w:rPr>
          <w:rFonts w:ascii="Arial" w:hAnsi="Arial" w:cs="Arial"/>
        </w:rPr>
        <w:t xml:space="preserve">there will be approximately 60,000 sample in 2024 due to declining </w:t>
      </w:r>
      <w:r w:rsidR="00590DBA" w:rsidRPr="006A5372">
        <w:rPr>
          <w:rFonts w:ascii="Arial" w:hAnsi="Arial" w:cs="Arial"/>
        </w:rPr>
        <w:t xml:space="preserve">survey </w:t>
      </w:r>
      <w:r w:rsidR="00094511" w:rsidRPr="006A5372">
        <w:rPr>
          <w:rFonts w:ascii="Arial" w:hAnsi="Arial" w:cs="Arial"/>
        </w:rPr>
        <w:t>response rates</w:t>
      </w:r>
      <w:r w:rsidR="00FA5EA0" w:rsidRPr="006A5372">
        <w:rPr>
          <w:rFonts w:ascii="Arial" w:hAnsi="Arial" w:cs="Arial"/>
        </w:rPr>
        <w:t xml:space="preserve"> </w:t>
      </w:r>
      <w:r w:rsidR="00FE4B99" w:rsidRPr="006A5372">
        <w:rPr>
          <w:rFonts w:ascii="Arial" w:hAnsi="Arial" w:cs="Arial"/>
        </w:rPr>
        <w:t>because of factors such</w:t>
      </w:r>
      <w:r w:rsidR="00FA5EA0" w:rsidRPr="006A5372">
        <w:rPr>
          <w:rFonts w:ascii="Arial" w:hAnsi="Arial" w:cs="Arial"/>
        </w:rPr>
        <w:t xml:space="preserve"> </w:t>
      </w:r>
      <w:r w:rsidR="009A7E86" w:rsidRPr="006A5372">
        <w:rPr>
          <w:rFonts w:ascii="Arial" w:hAnsi="Arial" w:cs="Arial"/>
        </w:rPr>
        <w:t xml:space="preserve">as </w:t>
      </w:r>
      <w:r w:rsidR="00FA5EA0" w:rsidRPr="006A5372">
        <w:rPr>
          <w:rFonts w:ascii="Arial" w:hAnsi="Arial" w:cs="Arial"/>
        </w:rPr>
        <w:t xml:space="preserve">population </w:t>
      </w:r>
      <w:r w:rsidR="00590DBA" w:rsidRPr="006A5372">
        <w:rPr>
          <w:rFonts w:ascii="Arial" w:hAnsi="Arial" w:cs="Arial"/>
        </w:rPr>
        <w:t xml:space="preserve">shifts, </w:t>
      </w:r>
      <w:r w:rsidR="00FA5EA0" w:rsidRPr="006A5372">
        <w:rPr>
          <w:rFonts w:ascii="Arial" w:hAnsi="Arial" w:cs="Arial"/>
        </w:rPr>
        <w:t>phone scams etc</w:t>
      </w:r>
      <w:r w:rsidR="003A50CD" w:rsidRPr="006A5372">
        <w:rPr>
          <w:rFonts w:ascii="Arial" w:hAnsi="Arial" w:cs="Arial"/>
        </w:rPr>
        <w:t>.</w:t>
      </w:r>
    </w:p>
    <w:p w14:paraId="0966425E" w14:textId="0E67A225"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The relevant recall periods for travellers </w:t>
      </w:r>
      <w:r w:rsidR="007F456A" w:rsidRPr="004C3673">
        <w:rPr>
          <w:rFonts w:ascii="Arial" w:hAnsi="Arial" w:cs="Arial"/>
        </w:rPr>
        <w:t>are</w:t>
      </w:r>
      <w:r w:rsidRPr="004C3673">
        <w:rPr>
          <w:rFonts w:ascii="Arial" w:hAnsi="Arial" w:cs="Arial"/>
        </w:rPr>
        <w:t xml:space="preserve"> within the last 7 days for daytrips; within the last 28 days for domestic overnight trips; and within the last 3 months for outbound trips. </w:t>
      </w:r>
    </w:p>
    <w:p w14:paraId="330CC593" w14:textId="77777777"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Overnight trips must include at least one night away from home and be a minimum of 40 kilometres from the respondent’s usual place of residence. </w:t>
      </w:r>
    </w:p>
    <w:p w14:paraId="0C045F70" w14:textId="1D5B0421"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Day trips must have a round trip distance of at least 50 kilometres from the respondent’s usual place of residence and a minimum duration of four hours. Day trips taken as part of an overnight trip, or those that are routine (for example, from home to work/school, or an intrinsic part of a person’s job), are not </w:t>
      </w:r>
      <w:r w:rsidR="00466DF8" w:rsidRPr="004C3673">
        <w:rPr>
          <w:rFonts w:ascii="Arial" w:hAnsi="Arial" w:cs="Arial"/>
        </w:rPr>
        <w:t>included</w:t>
      </w:r>
      <w:r w:rsidRPr="004C3673">
        <w:rPr>
          <w:rFonts w:ascii="Arial" w:hAnsi="Arial" w:cs="Arial"/>
        </w:rPr>
        <w:t>.</w:t>
      </w:r>
    </w:p>
    <w:p w14:paraId="1ECE06A9" w14:textId="77777777"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The NVS is co-funded by the Commonwealth, </w:t>
      </w:r>
      <w:proofErr w:type="gramStart"/>
      <w:r w:rsidRPr="004C3673">
        <w:rPr>
          <w:rFonts w:ascii="Arial" w:hAnsi="Arial" w:cs="Arial"/>
        </w:rPr>
        <w:t>state</w:t>
      </w:r>
      <w:proofErr w:type="gramEnd"/>
      <w:r w:rsidRPr="004C3673">
        <w:rPr>
          <w:rFonts w:ascii="Arial" w:hAnsi="Arial" w:cs="Arial"/>
        </w:rPr>
        <w:t xml:space="preserve"> and territory governments. </w:t>
      </w:r>
    </w:p>
    <w:p w14:paraId="60E232FF" w14:textId="77777777" w:rsidR="003A50CD"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Headline results from the NVS are published monthly with more detailed results available quarterly.</w:t>
      </w:r>
    </w:p>
    <w:p w14:paraId="57F0CE9E" w14:textId="16409443" w:rsidR="00C95FA4" w:rsidRPr="004C3673" w:rsidRDefault="003A50CD" w:rsidP="00BE1D31">
      <w:pPr>
        <w:pStyle w:val="ListParagraph"/>
        <w:numPr>
          <w:ilvl w:val="0"/>
          <w:numId w:val="7"/>
        </w:numPr>
        <w:spacing w:before="120" w:after="120"/>
        <w:rPr>
          <w:rFonts w:ascii="Arial" w:hAnsi="Arial" w:cs="Arial"/>
        </w:rPr>
      </w:pPr>
      <w:r w:rsidRPr="004C3673">
        <w:rPr>
          <w:rFonts w:ascii="Arial" w:hAnsi="Arial" w:cs="Arial"/>
        </w:rPr>
        <w:t xml:space="preserve">For further information on the NVS methodology visit </w:t>
      </w:r>
      <w:hyperlink r:id="rId14" w:history="1">
        <w:r w:rsidRPr="00194E23">
          <w:rPr>
            <w:rStyle w:val="Hyperlink"/>
            <w:rFonts w:ascii="Arial" w:hAnsi="Arial" w:cs="Arial"/>
          </w:rPr>
          <w:t xml:space="preserve">Tourism </w:t>
        </w:r>
        <w:r w:rsidRPr="00194E23">
          <w:rPr>
            <w:rStyle w:val="Hyperlink"/>
            <w:rFonts w:ascii="Arial" w:hAnsi="Arial" w:cs="Arial"/>
          </w:rPr>
          <w:t>R</w:t>
        </w:r>
        <w:r w:rsidRPr="00194E23">
          <w:rPr>
            <w:rStyle w:val="Hyperlink"/>
            <w:rFonts w:ascii="Arial" w:hAnsi="Arial" w:cs="Arial"/>
          </w:rPr>
          <w:t>esearch Australia.</w:t>
        </w:r>
      </w:hyperlink>
    </w:p>
    <w:p w14:paraId="79A35F1C" w14:textId="77777777" w:rsidR="009A7271" w:rsidRPr="009A7271" w:rsidRDefault="009A7271" w:rsidP="009A7271">
      <w:pPr>
        <w:rPr>
          <w:sz w:val="8"/>
          <w:szCs w:val="8"/>
        </w:rPr>
      </w:pPr>
    </w:p>
    <w:p w14:paraId="003021E3" w14:textId="598C6249" w:rsidR="00C95FA4" w:rsidRPr="009862F5" w:rsidRDefault="00A7302D" w:rsidP="009C1934">
      <w:pPr>
        <w:pStyle w:val="Heading2"/>
        <w:spacing w:before="120" w:after="120"/>
        <w:rPr>
          <w:rFonts w:ascii="Arial" w:hAnsi="Arial" w:cs="Arial"/>
          <w:color w:val="002060"/>
        </w:rPr>
      </w:pPr>
      <w:bookmarkStart w:id="19" w:name="_Toc167188598"/>
      <w:r w:rsidRPr="009862F5">
        <w:rPr>
          <w:rFonts w:ascii="Arial" w:hAnsi="Arial" w:cs="Arial"/>
          <w:color w:val="002060"/>
        </w:rPr>
        <w:t xml:space="preserve">2.2 </w:t>
      </w:r>
      <w:r w:rsidR="00C95FA4" w:rsidRPr="009862F5">
        <w:rPr>
          <w:rFonts w:ascii="Arial" w:hAnsi="Arial" w:cs="Arial"/>
          <w:color w:val="002060"/>
        </w:rPr>
        <w:t xml:space="preserve">Key </w:t>
      </w:r>
      <w:r w:rsidR="003D247E" w:rsidRPr="009862F5">
        <w:rPr>
          <w:rFonts w:ascii="Arial" w:hAnsi="Arial" w:cs="Arial"/>
          <w:color w:val="002060"/>
        </w:rPr>
        <w:t xml:space="preserve">NVS </w:t>
      </w:r>
      <w:r w:rsidR="00C95FA4" w:rsidRPr="009862F5">
        <w:rPr>
          <w:rFonts w:ascii="Arial" w:hAnsi="Arial" w:cs="Arial"/>
          <w:color w:val="002060"/>
        </w:rPr>
        <w:t>metrics</w:t>
      </w:r>
      <w:bookmarkEnd w:id="19"/>
      <w:r w:rsidR="00C95FA4" w:rsidRPr="009862F5">
        <w:rPr>
          <w:rFonts w:ascii="Arial" w:hAnsi="Arial" w:cs="Arial"/>
          <w:color w:val="002060"/>
        </w:rPr>
        <w:t xml:space="preserve"> </w:t>
      </w:r>
    </w:p>
    <w:p w14:paraId="3278ED13" w14:textId="77777777" w:rsidR="00C95FA4" w:rsidRPr="004C3673" w:rsidRDefault="00C95FA4" w:rsidP="00BE1D31">
      <w:pPr>
        <w:pStyle w:val="ListParagraph"/>
        <w:numPr>
          <w:ilvl w:val="0"/>
          <w:numId w:val="8"/>
        </w:numPr>
        <w:spacing w:before="120" w:after="120"/>
        <w:rPr>
          <w:rFonts w:ascii="Arial" w:hAnsi="Arial" w:cs="Arial"/>
        </w:rPr>
      </w:pPr>
      <w:r w:rsidRPr="004C3673">
        <w:rPr>
          <w:rFonts w:ascii="Arial" w:hAnsi="Arial" w:cs="Arial"/>
        </w:rPr>
        <w:t>The NVS includes over 70 questions related to destination, purpose, travel package, information sources, transportation, activities, expenditure, accommodation, travel party and demographics (as well as other types of information).</w:t>
      </w:r>
    </w:p>
    <w:p w14:paraId="1E706D85" w14:textId="2CF43B3C" w:rsidR="00C95FA4" w:rsidRPr="004C3673" w:rsidRDefault="00C95FA4" w:rsidP="00BE1D31">
      <w:pPr>
        <w:pStyle w:val="ListParagraph"/>
        <w:numPr>
          <w:ilvl w:val="0"/>
          <w:numId w:val="8"/>
        </w:numPr>
        <w:spacing w:before="120" w:after="120"/>
        <w:rPr>
          <w:rFonts w:ascii="Arial" w:hAnsi="Arial" w:cs="Arial"/>
        </w:rPr>
      </w:pPr>
      <w:r w:rsidRPr="004C3673">
        <w:rPr>
          <w:rFonts w:ascii="Arial" w:hAnsi="Arial" w:cs="Arial"/>
        </w:rPr>
        <w:t xml:space="preserve">To note: spend is collected for the respondent’s entire journey, not for individual stops. TRA uses the regional expenditure model (REX) to allocate visitor spend to Australia’s tourism regions. </w:t>
      </w:r>
    </w:p>
    <w:p w14:paraId="12F63252" w14:textId="166173F4" w:rsidR="00463545" w:rsidRPr="004C3673" w:rsidRDefault="00463545" w:rsidP="009862F5">
      <w:pPr>
        <w:rPr>
          <w:rStyle w:val="markedcontent"/>
          <w:rFonts w:ascii="Arial" w:hAnsi="Arial" w:cs="Arial"/>
        </w:rPr>
      </w:pPr>
    </w:p>
    <w:p w14:paraId="2939DF95" w14:textId="77D8E0C1" w:rsidR="003D247E" w:rsidRPr="00F906AA" w:rsidRDefault="00A7302D" w:rsidP="003D247E">
      <w:pPr>
        <w:pStyle w:val="Heading2"/>
        <w:rPr>
          <w:rFonts w:ascii="Arial" w:hAnsi="Arial" w:cs="Arial"/>
          <w:color w:val="002060"/>
        </w:rPr>
      </w:pPr>
      <w:bookmarkStart w:id="20" w:name="_Toc167188599"/>
      <w:r w:rsidRPr="00F906AA">
        <w:rPr>
          <w:rFonts w:ascii="Arial" w:hAnsi="Arial" w:cs="Arial"/>
          <w:color w:val="002060"/>
        </w:rPr>
        <w:t xml:space="preserve">2.3 </w:t>
      </w:r>
      <w:r w:rsidR="00E529AB" w:rsidRPr="00F906AA">
        <w:rPr>
          <w:rFonts w:ascii="Arial" w:hAnsi="Arial" w:cs="Arial"/>
          <w:color w:val="002060"/>
        </w:rPr>
        <w:t>NVS</w:t>
      </w:r>
      <w:r w:rsidR="003D247E" w:rsidRPr="00F906AA">
        <w:rPr>
          <w:rFonts w:ascii="Arial" w:hAnsi="Arial" w:cs="Arial"/>
          <w:color w:val="002060"/>
        </w:rPr>
        <w:t xml:space="preserve"> publishing </w:t>
      </w:r>
      <w:proofErr w:type="gramStart"/>
      <w:r w:rsidR="003D247E" w:rsidRPr="00F906AA">
        <w:rPr>
          <w:rFonts w:ascii="Arial" w:hAnsi="Arial" w:cs="Arial"/>
          <w:color w:val="002060"/>
        </w:rPr>
        <w:t>guidelines</w:t>
      </w:r>
      <w:bookmarkEnd w:id="20"/>
      <w:proofErr w:type="gramEnd"/>
    </w:p>
    <w:p w14:paraId="56C5BE71" w14:textId="52FA2DBF" w:rsidR="0020294C" w:rsidRPr="004C3673" w:rsidRDefault="0020294C" w:rsidP="001A2FE1">
      <w:pPr>
        <w:spacing w:before="120" w:after="120"/>
        <w:rPr>
          <w:rFonts w:ascii="Arial" w:hAnsi="Arial" w:cs="Arial"/>
        </w:rPr>
      </w:pPr>
      <w:r w:rsidRPr="004C3673">
        <w:rPr>
          <w:rFonts w:ascii="Arial" w:hAnsi="Arial" w:cs="Arial"/>
        </w:rPr>
        <w:t>E</w:t>
      </w:r>
      <w:r w:rsidR="00714036" w:rsidRPr="004C3673">
        <w:rPr>
          <w:rFonts w:ascii="Arial" w:hAnsi="Arial" w:cs="Arial"/>
        </w:rPr>
        <w:t>stimates are broadly published based on the following threshold rules</w:t>
      </w:r>
      <w:r w:rsidR="00713972" w:rsidRPr="004C3673">
        <w:rPr>
          <w:rFonts w:ascii="Arial" w:hAnsi="Arial" w:cs="Arial"/>
        </w:rPr>
        <w:t>. T</w:t>
      </w:r>
      <w:r w:rsidR="00714036" w:rsidRPr="004C3673">
        <w:rPr>
          <w:rFonts w:ascii="Arial" w:hAnsi="Arial" w:cs="Arial"/>
        </w:rPr>
        <w:t xml:space="preserve">his is a guide only </w:t>
      </w:r>
      <w:r w:rsidRPr="004C3673">
        <w:rPr>
          <w:rFonts w:ascii="Arial" w:hAnsi="Arial" w:cs="Arial"/>
        </w:rPr>
        <w:t xml:space="preserve">and </w:t>
      </w:r>
      <w:r w:rsidR="00714036" w:rsidRPr="004C3673">
        <w:rPr>
          <w:rFonts w:ascii="Arial" w:hAnsi="Arial" w:cs="Arial"/>
        </w:rPr>
        <w:t xml:space="preserve">other TRA publishing rules may be considered. </w:t>
      </w:r>
    </w:p>
    <w:p w14:paraId="33F48C5E" w14:textId="4456F36F" w:rsidR="00714036" w:rsidRPr="004C3673" w:rsidRDefault="00714036" w:rsidP="001A2FE1">
      <w:pPr>
        <w:spacing w:before="120" w:after="120"/>
        <w:rPr>
          <w:rFonts w:ascii="Arial" w:hAnsi="Arial" w:cs="Arial"/>
        </w:rPr>
      </w:pPr>
      <w:r w:rsidRPr="004C3673">
        <w:rPr>
          <w:rFonts w:ascii="Arial" w:hAnsi="Arial" w:cs="Arial"/>
        </w:rPr>
        <w:t>Note: Where there are two rules, both must be satisfied for data to be published.</w:t>
      </w:r>
    </w:p>
    <w:p w14:paraId="47B9AE9E" w14:textId="36A9A8AE" w:rsidR="00714036" w:rsidRDefault="00714036" w:rsidP="001A2FE1">
      <w:pPr>
        <w:spacing w:before="120" w:after="120"/>
        <w:rPr>
          <w:rFonts w:ascii="Arial" w:hAnsi="Arial" w:cs="Arial"/>
        </w:rPr>
      </w:pPr>
      <w:r w:rsidRPr="004C3673">
        <w:rPr>
          <w:rFonts w:ascii="Arial" w:hAnsi="Arial" w:cs="Arial"/>
        </w:rPr>
        <w:t xml:space="preserve">Some results may be supressed due to sampling variability. Estimates that fall below these thresholds are indicated in publications by a </w:t>
      </w:r>
      <w:r w:rsidR="00074AAF" w:rsidRPr="004C3673">
        <w:rPr>
          <w:rFonts w:ascii="Arial" w:hAnsi="Arial" w:cs="Arial"/>
        </w:rPr>
        <w:t>blank</w:t>
      </w:r>
      <w:r w:rsidRPr="004C3673">
        <w:rPr>
          <w:rFonts w:ascii="Arial" w:hAnsi="Arial" w:cs="Arial"/>
        </w:rPr>
        <w:t xml:space="preserve"> or np for not publishable.</w:t>
      </w:r>
    </w:p>
    <w:p w14:paraId="636109AA" w14:textId="77777777" w:rsidR="009A7271" w:rsidRPr="009A7271" w:rsidRDefault="009A7271" w:rsidP="009A7271">
      <w:pPr>
        <w:rPr>
          <w:sz w:val="8"/>
          <w:szCs w:val="8"/>
        </w:rPr>
      </w:pPr>
    </w:p>
    <w:p w14:paraId="430B2BFE" w14:textId="233831CC" w:rsidR="00074AAF" w:rsidRPr="00F906AA" w:rsidRDefault="00074AAF" w:rsidP="00074AAF">
      <w:pPr>
        <w:pStyle w:val="Heading3"/>
        <w:rPr>
          <w:rFonts w:ascii="Arial" w:hAnsi="Arial" w:cs="Arial"/>
          <w:color w:val="002060"/>
        </w:rPr>
      </w:pPr>
      <w:r w:rsidRPr="00F906AA">
        <w:rPr>
          <w:rFonts w:ascii="Arial" w:hAnsi="Arial" w:cs="Arial"/>
          <w:color w:val="002060"/>
        </w:rPr>
        <w:lastRenderedPageBreak/>
        <w:t xml:space="preserve">Table </w:t>
      </w:r>
      <w:r w:rsidR="003024D6" w:rsidRPr="00F906AA">
        <w:rPr>
          <w:rFonts w:ascii="Arial" w:hAnsi="Arial" w:cs="Arial"/>
          <w:color w:val="002060"/>
        </w:rPr>
        <w:t>2.3.</w:t>
      </w:r>
      <w:r w:rsidRPr="00F906AA">
        <w:rPr>
          <w:rFonts w:ascii="Arial" w:hAnsi="Arial" w:cs="Arial"/>
          <w:color w:val="002060"/>
        </w:rPr>
        <w:t>1</w:t>
      </w:r>
      <w:r w:rsidR="00DA7B43" w:rsidRPr="00F906AA">
        <w:rPr>
          <w:rFonts w:ascii="Arial" w:hAnsi="Arial" w:cs="Arial"/>
          <w:color w:val="002060"/>
        </w:rPr>
        <w:t>:</w:t>
      </w:r>
      <w:r w:rsidRPr="00F906AA">
        <w:rPr>
          <w:rFonts w:ascii="Arial" w:hAnsi="Arial" w:cs="Arial"/>
          <w:color w:val="002060"/>
        </w:rPr>
        <w:t xml:space="preserve"> NVS visitor thresholds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00"/>
        <w:gridCol w:w="2400"/>
        <w:gridCol w:w="2083"/>
        <w:gridCol w:w="2835"/>
      </w:tblGrid>
      <w:tr w:rsidR="00584B44" w:rsidRPr="004C3673" w14:paraId="73F6C65A" w14:textId="77777777" w:rsidTr="0020294C">
        <w:trPr>
          <w:trHeight w:val="584"/>
          <w:tblHeader/>
        </w:trPr>
        <w:tc>
          <w:tcPr>
            <w:tcW w:w="2600" w:type="dxa"/>
            <w:shd w:val="clear" w:color="auto" w:fill="D9D9D9" w:themeFill="background1" w:themeFillShade="D9"/>
            <w:tcMar>
              <w:top w:w="15" w:type="dxa"/>
              <w:left w:w="108" w:type="dxa"/>
              <w:bottom w:w="0" w:type="dxa"/>
              <w:right w:w="108" w:type="dxa"/>
            </w:tcMar>
            <w:hideMark/>
          </w:tcPr>
          <w:p w14:paraId="6C189DCA" w14:textId="71D164F7" w:rsidR="00584B44" w:rsidRPr="004C3673" w:rsidRDefault="00584B44" w:rsidP="00584B44">
            <w:pPr>
              <w:rPr>
                <w:rFonts w:ascii="Arial" w:hAnsi="Arial" w:cs="Arial"/>
              </w:rPr>
            </w:pPr>
            <w:bookmarkStart w:id="21" w:name="Title_1" w:colFirst="0" w:colLast="0"/>
            <w:r w:rsidRPr="004C3673">
              <w:rPr>
                <w:rFonts w:ascii="Arial" w:hAnsi="Arial" w:cs="Arial"/>
                <w:b/>
                <w:bCs/>
              </w:rPr>
              <w:t>Measure</w:t>
            </w:r>
            <w:r w:rsidR="00EA1605" w:rsidRPr="004C3673">
              <w:rPr>
                <w:rFonts w:ascii="Arial" w:hAnsi="Arial" w:cs="Arial"/>
                <w:b/>
                <w:bCs/>
              </w:rPr>
              <w:t xml:space="preserve"> v</w:t>
            </w:r>
            <w:r w:rsidR="00E857C2" w:rsidRPr="004C3673">
              <w:rPr>
                <w:rFonts w:ascii="Arial" w:hAnsi="Arial" w:cs="Arial"/>
                <w:b/>
                <w:bCs/>
              </w:rPr>
              <w:t>isitors</w:t>
            </w:r>
          </w:p>
        </w:tc>
        <w:tc>
          <w:tcPr>
            <w:tcW w:w="2400" w:type="dxa"/>
            <w:shd w:val="clear" w:color="auto" w:fill="D9D9D9" w:themeFill="background1" w:themeFillShade="D9"/>
            <w:tcMar>
              <w:top w:w="15" w:type="dxa"/>
              <w:left w:w="108" w:type="dxa"/>
              <w:bottom w:w="0" w:type="dxa"/>
              <w:right w:w="108" w:type="dxa"/>
            </w:tcMar>
            <w:hideMark/>
          </w:tcPr>
          <w:p w14:paraId="076A4F43" w14:textId="77777777" w:rsidR="00584B44" w:rsidRPr="004C3673" w:rsidRDefault="00584B44" w:rsidP="00584B44">
            <w:pPr>
              <w:rPr>
                <w:rFonts w:ascii="Arial" w:hAnsi="Arial" w:cs="Arial"/>
              </w:rPr>
            </w:pPr>
            <w:r w:rsidRPr="004C3673">
              <w:rPr>
                <w:rFonts w:ascii="Arial" w:hAnsi="Arial" w:cs="Arial"/>
                <w:b/>
                <w:bCs/>
              </w:rPr>
              <w:t>Rule 1</w:t>
            </w:r>
          </w:p>
        </w:tc>
        <w:tc>
          <w:tcPr>
            <w:tcW w:w="2083" w:type="dxa"/>
            <w:shd w:val="clear" w:color="auto" w:fill="D9D9D9" w:themeFill="background1" w:themeFillShade="D9"/>
            <w:tcMar>
              <w:top w:w="15" w:type="dxa"/>
              <w:left w:w="108" w:type="dxa"/>
              <w:bottom w:w="0" w:type="dxa"/>
              <w:right w:w="108" w:type="dxa"/>
            </w:tcMar>
            <w:hideMark/>
          </w:tcPr>
          <w:p w14:paraId="146F8101" w14:textId="77777777" w:rsidR="00584B44" w:rsidRPr="004C3673" w:rsidRDefault="00584B44" w:rsidP="00584B44">
            <w:pPr>
              <w:rPr>
                <w:rFonts w:ascii="Arial" w:hAnsi="Arial" w:cs="Arial"/>
              </w:rPr>
            </w:pPr>
            <w:r w:rsidRPr="004C3673">
              <w:rPr>
                <w:rFonts w:ascii="Arial" w:hAnsi="Arial" w:cs="Arial"/>
                <w:b/>
                <w:bCs/>
              </w:rPr>
              <w:t>Rule 2</w:t>
            </w:r>
          </w:p>
        </w:tc>
        <w:tc>
          <w:tcPr>
            <w:tcW w:w="2835" w:type="dxa"/>
            <w:shd w:val="clear" w:color="auto" w:fill="D9D9D9" w:themeFill="background1" w:themeFillShade="D9"/>
            <w:tcMar>
              <w:top w:w="15" w:type="dxa"/>
              <w:left w:w="108" w:type="dxa"/>
              <w:bottom w:w="0" w:type="dxa"/>
              <w:right w:w="108" w:type="dxa"/>
            </w:tcMar>
            <w:hideMark/>
          </w:tcPr>
          <w:p w14:paraId="14B4B7AB" w14:textId="77777777" w:rsidR="00584B44" w:rsidRPr="004C3673" w:rsidRDefault="00584B44" w:rsidP="00584B44">
            <w:pPr>
              <w:rPr>
                <w:rFonts w:ascii="Arial" w:hAnsi="Arial" w:cs="Arial"/>
              </w:rPr>
            </w:pPr>
            <w:r w:rsidRPr="004C3673">
              <w:rPr>
                <w:rFonts w:ascii="Arial" w:hAnsi="Arial" w:cs="Arial"/>
                <w:b/>
                <w:bCs/>
              </w:rPr>
              <w:t>Notes</w:t>
            </w:r>
          </w:p>
        </w:tc>
      </w:tr>
      <w:bookmarkEnd w:id="21"/>
      <w:tr w:rsidR="00584B44" w:rsidRPr="004C3673" w14:paraId="2D275DD2" w14:textId="77777777" w:rsidTr="009862F5">
        <w:trPr>
          <w:trHeight w:val="483"/>
        </w:trPr>
        <w:tc>
          <w:tcPr>
            <w:tcW w:w="2600" w:type="dxa"/>
            <w:shd w:val="clear" w:color="auto" w:fill="auto"/>
            <w:tcMar>
              <w:top w:w="15" w:type="dxa"/>
              <w:left w:w="108" w:type="dxa"/>
              <w:bottom w:w="0" w:type="dxa"/>
              <w:right w:w="108" w:type="dxa"/>
            </w:tcMar>
            <w:hideMark/>
          </w:tcPr>
          <w:p w14:paraId="655ED411" w14:textId="77777777" w:rsidR="00584B44" w:rsidRPr="004C3673" w:rsidRDefault="00584B44" w:rsidP="00584B44">
            <w:pPr>
              <w:rPr>
                <w:rFonts w:ascii="Arial" w:hAnsi="Arial" w:cs="Arial"/>
              </w:rPr>
            </w:pPr>
            <w:r w:rsidRPr="004C3673">
              <w:rPr>
                <w:rFonts w:ascii="Arial" w:hAnsi="Arial" w:cs="Arial"/>
              </w:rPr>
              <w:t>Domestic daytrips</w:t>
            </w:r>
          </w:p>
        </w:tc>
        <w:tc>
          <w:tcPr>
            <w:tcW w:w="2400" w:type="dxa"/>
            <w:shd w:val="clear" w:color="auto" w:fill="auto"/>
            <w:tcMar>
              <w:top w:w="15" w:type="dxa"/>
              <w:left w:w="108" w:type="dxa"/>
              <w:bottom w:w="0" w:type="dxa"/>
              <w:right w:w="108" w:type="dxa"/>
            </w:tcMar>
            <w:hideMark/>
          </w:tcPr>
          <w:p w14:paraId="01FA734F" w14:textId="06092726" w:rsidR="00584B44" w:rsidRPr="004C3673" w:rsidRDefault="00584B44" w:rsidP="00584B44">
            <w:pPr>
              <w:rPr>
                <w:rFonts w:ascii="Arial" w:hAnsi="Arial" w:cs="Arial"/>
              </w:rPr>
            </w:pPr>
            <w:r w:rsidRPr="004C3673">
              <w:rPr>
                <w:rFonts w:ascii="Arial" w:hAnsi="Arial" w:cs="Arial"/>
              </w:rPr>
              <w:t xml:space="preserve">Sample 30+ </w:t>
            </w:r>
            <w:r w:rsidR="001938CE" w:rsidRPr="004C3673">
              <w:rPr>
                <w:rFonts w:ascii="Arial" w:hAnsi="Arial" w:cs="Arial"/>
              </w:rPr>
              <w:t>(&gt;29)</w:t>
            </w:r>
          </w:p>
        </w:tc>
        <w:tc>
          <w:tcPr>
            <w:tcW w:w="2083" w:type="dxa"/>
            <w:shd w:val="clear" w:color="auto" w:fill="auto"/>
            <w:tcMar>
              <w:top w:w="15" w:type="dxa"/>
              <w:left w:w="108" w:type="dxa"/>
              <w:bottom w:w="0" w:type="dxa"/>
              <w:right w:w="108" w:type="dxa"/>
            </w:tcMar>
            <w:hideMark/>
          </w:tcPr>
          <w:p w14:paraId="00265D18" w14:textId="77777777" w:rsidR="00584B44" w:rsidRPr="004C3673" w:rsidRDefault="00584B44" w:rsidP="00584B44">
            <w:pPr>
              <w:rPr>
                <w:rFonts w:ascii="Arial" w:hAnsi="Arial" w:cs="Arial"/>
              </w:rPr>
            </w:pPr>
            <w:r w:rsidRPr="004C3673">
              <w:rPr>
                <w:rFonts w:ascii="Arial" w:hAnsi="Arial" w:cs="Arial"/>
              </w:rPr>
              <w:t>200,000+ visitors</w:t>
            </w:r>
          </w:p>
        </w:tc>
        <w:tc>
          <w:tcPr>
            <w:tcW w:w="2835" w:type="dxa"/>
            <w:shd w:val="clear" w:color="auto" w:fill="auto"/>
            <w:tcMar>
              <w:top w:w="15" w:type="dxa"/>
              <w:left w:w="108" w:type="dxa"/>
              <w:bottom w:w="0" w:type="dxa"/>
              <w:right w:w="108" w:type="dxa"/>
            </w:tcMar>
            <w:hideMark/>
          </w:tcPr>
          <w:p w14:paraId="5ACE0875" w14:textId="77777777" w:rsidR="00584B44" w:rsidRPr="004C3673" w:rsidRDefault="00584B44" w:rsidP="00584B44">
            <w:pPr>
              <w:rPr>
                <w:rFonts w:ascii="Arial" w:hAnsi="Arial" w:cs="Arial"/>
              </w:rPr>
            </w:pPr>
            <w:r w:rsidRPr="004C3673">
              <w:rPr>
                <w:rFonts w:ascii="Arial" w:hAnsi="Arial" w:cs="Arial"/>
              </w:rPr>
              <w:t xml:space="preserve">All time periods </w:t>
            </w:r>
          </w:p>
        </w:tc>
      </w:tr>
      <w:tr w:rsidR="00A906AB" w:rsidRPr="004C3673" w14:paraId="474B4D29" w14:textId="77777777" w:rsidTr="00544AB2">
        <w:trPr>
          <w:trHeight w:val="631"/>
        </w:trPr>
        <w:tc>
          <w:tcPr>
            <w:tcW w:w="2600" w:type="dxa"/>
            <w:shd w:val="clear" w:color="auto" w:fill="auto"/>
            <w:tcMar>
              <w:top w:w="15" w:type="dxa"/>
              <w:left w:w="108" w:type="dxa"/>
              <w:bottom w:w="0" w:type="dxa"/>
              <w:right w:w="108" w:type="dxa"/>
            </w:tcMar>
          </w:tcPr>
          <w:p w14:paraId="7CB4CA66" w14:textId="0B7DB58D" w:rsidR="00A906AB" w:rsidRPr="00CF1311" w:rsidRDefault="00A906AB" w:rsidP="00A906AB">
            <w:pPr>
              <w:rPr>
                <w:rFonts w:ascii="Arial" w:hAnsi="Arial" w:cs="Arial"/>
              </w:rPr>
            </w:pPr>
            <w:r w:rsidRPr="00CF1311">
              <w:rPr>
                <w:rFonts w:ascii="Arial" w:hAnsi="Arial" w:cs="Arial"/>
              </w:rPr>
              <w:t xml:space="preserve">Domestic daytrips </w:t>
            </w:r>
            <w:r w:rsidRPr="00CF1311">
              <w:rPr>
                <w:rFonts w:ascii="Arial" w:hAnsi="Arial" w:cs="Arial"/>
              </w:rPr>
              <w:br/>
              <w:t>cross classifications</w:t>
            </w:r>
          </w:p>
        </w:tc>
        <w:tc>
          <w:tcPr>
            <w:tcW w:w="2400" w:type="dxa"/>
            <w:shd w:val="clear" w:color="auto" w:fill="auto"/>
            <w:tcMar>
              <w:top w:w="15" w:type="dxa"/>
              <w:left w:w="108" w:type="dxa"/>
              <w:bottom w:w="0" w:type="dxa"/>
              <w:right w:w="108" w:type="dxa"/>
            </w:tcMar>
          </w:tcPr>
          <w:p w14:paraId="3EC59CF2" w14:textId="70AA9519" w:rsidR="00A906AB" w:rsidRPr="00CF1311" w:rsidRDefault="00A906AB" w:rsidP="00A906AB">
            <w:pPr>
              <w:rPr>
                <w:rFonts w:ascii="Arial" w:hAnsi="Arial" w:cs="Arial"/>
              </w:rPr>
            </w:pPr>
            <w:r w:rsidRPr="00CF1311">
              <w:rPr>
                <w:rFonts w:ascii="Arial" w:hAnsi="Arial" w:cs="Arial"/>
              </w:rPr>
              <w:t>Sample 40+ (&gt;39)</w:t>
            </w:r>
          </w:p>
        </w:tc>
        <w:tc>
          <w:tcPr>
            <w:tcW w:w="2083" w:type="dxa"/>
            <w:shd w:val="clear" w:color="auto" w:fill="auto"/>
            <w:tcMar>
              <w:top w:w="15" w:type="dxa"/>
              <w:left w:w="108" w:type="dxa"/>
              <w:bottom w:w="0" w:type="dxa"/>
              <w:right w:w="108" w:type="dxa"/>
            </w:tcMar>
          </w:tcPr>
          <w:p w14:paraId="3E22CD5A" w14:textId="5B26C6BC" w:rsidR="00A906AB" w:rsidRPr="00CF1311" w:rsidRDefault="00A906AB" w:rsidP="00A906AB">
            <w:pPr>
              <w:rPr>
                <w:rFonts w:ascii="Arial" w:hAnsi="Arial" w:cs="Arial"/>
              </w:rPr>
            </w:pPr>
            <w:r w:rsidRPr="00CF1311">
              <w:rPr>
                <w:rFonts w:ascii="Arial" w:hAnsi="Arial" w:cs="Arial"/>
              </w:rPr>
              <w:t>Not applicable</w:t>
            </w:r>
          </w:p>
        </w:tc>
        <w:tc>
          <w:tcPr>
            <w:tcW w:w="2835" w:type="dxa"/>
            <w:shd w:val="clear" w:color="auto" w:fill="auto"/>
            <w:tcMar>
              <w:top w:w="15" w:type="dxa"/>
              <w:left w:w="108" w:type="dxa"/>
              <w:bottom w:w="0" w:type="dxa"/>
              <w:right w:w="108" w:type="dxa"/>
            </w:tcMar>
          </w:tcPr>
          <w:p w14:paraId="582CBC94" w14:textId="79A2EE70" w:rsidR="00A906AB" w:rsidRPr="00CF1311" w:rsidRDefault="00A906AB" w:rsidP="00A906AB">
            <w:pPr>
              <w:rPr>
                <w:rFonts w:ascii="Arial" w:hAnsi="Arial" w:cs="Arial"/>
              </w:rPr>
            </w:pPr>
            <w:r w:rsidRPr="00CF1311">
              <w:rPr>
                <w:rFonts w:ascii="Arial" w:hAnsi="Arial" w:cs="Arial"/>
              </w:rPr>
              <w:t xml:space="preserve">All time periods </w:t>
            </w:r>
          </w:p>
        </w:tc>
      </w:tr>
      <w:tr w:rsidR="00584B44" w:rsidRPr="004C3673" w14:paraId="0CFDF006" w14:textId="77777777" w:rsidTr="009862F5">
        <w:trPr>
          <w:trHeight w:val="528"/>
        </w:trPr>
        <w:tc>
          <w:tcPr>
            <w:tcW w:w="2600" w:type="dxa"/>
            <w:shd w:val="clear" w:color="auto" w:fill="auto"/>
            <w:tcMar>
              <w:top w:w="15" w:type="dxa"/>
              <w:left w:w="108" w:type="dxa"/>
              <w:bottom w:w="0" w:type="dxa"/>
              <w:right w:w="108" w:type="dxa"/>
            </w:tcMar>
            <w:hideMark/>
          </w:tcPr>
          <w:p w14:paraId="5A470B64" w14:textId="77777777" w:rsidR="00584B44" w:rsidRPr="00CF1311" w:rsidRDefault="00584B44" w:rsidP="00584B44">
            <w:pPr>
              <w:rPr>
                <w:rFonts w:ascii="Arial" w:hAnsi="Arial" w:cs="Arial"/>
              </w:rPr>
            </w:pPr>
            <w:r w:rsidRPr="00CF1311">
              <w:rPr>
                <w:rFonts w:ascii="Arial" w:hAnsi="Arial" w:cs="Arial"/>
              </w:rPr>
              <w:t>Domestic overnight</w:t>
            </w:r>
          </w:p>
        </w:tc>
        <w:tc>
          <w:tcPr>
            <w:tcW w:w="2400" w:type="dxa"/>
            <w:shd w:val="clear" w:color="auto" w:fill="auto"/>
            <w:tcMar>
              <w:top w:w="15" w:type="dxa"/>
              <w:left w:w="108" w:type="dxa"/>
              <w:bottom w:w="0" w:type="dxa"/>
              <w:right w:w="108" w:type="dxa"/>
            </w:tcMar>
            <w:hideMark/>
          </w:tcPr>
          <w:p w14:paraId="728CEDD1" w14:textId="54F321A0" w:rsidR="00584B44" w:rsidRPr="00CF1311" w:rsidRDefault="00584B44" w:rsidP="00584B44">
            <w:pPr>
              <w:rPr>
                <w:rFonts w:ascii="Arial" w:hAnsi="Arial" w:cs="Arial"/>
              </w:rPr>
            </w:pPr>
            <w:r w:rsidRPr="00CF1311">
              <w:rPr>
                <w:rFonts w:ascii="Arial" w:hAnsi="Arial" w:cs="Arial"/>
              </w:rPr>
              <w:t xml:space="preserve">Sample 40+ </w:t>
            </w:r>
            <w:r w:rsidR="001938CE" w:rsidRPr="00CF1311">
              <w:rPr>
                <w:rFonts w:ascii="Arial" w:hAnsi="Arial" w:cs="Arial"/>
              </w:rPr>
              <w:t>(&gt;39)</w:t>
            </w:r>
          </w:p>
        </w:tc>
        <w:tc>
          <w:tcPr>
            <w:tcW w:w="2083" w:type="dxa"/>
            <w:shd w:val="clear" w:color="auto" w:fill="auto"/>
            <w:tcMar>
              <w:top w:w="15" w:type="dxa"/>
              <w:left w:w="108" w:type="dxa"/>
              <w:bottom w:w="0" w:type="dxa"/>
              <w:right w:w="108" w:type="dxa"/>
            </w:tcMar>
            <w:hideMark/>
          </w:tcPr>
          <w:p w14:paraId="238C59BF" w14:textId="67D194B4" w:rsidR="00584B44" w:rsidRPr="00CF1311" w:rsidRDefault="00584B44" w:rsidP="00584B44">
            <w:pPr>
              <w:rPr>
                <w:rFonts w:ascii="Arial" w:hAnsi="Arial" w:cs="Arial"/>
              </w:rPr>
            </w:pPr>
            <w:r w:rsidRPr="00CF1311">
              <w:rPr>
                <w:rFonts w:ascii="Arial" w:hAnsi="Arial" w:cs="Arial"/>
              </w:rPr>
              <w:t> </w:t>
            </w:r>
            <w:r w:rsidR="00D6218A" w:rsidRPr="00CF1311">
              <w:rPr>
                <w:rFonts w:ascii="Arial" w:hAnsi="Arial" w:cs="Arial"/>
              </w:rPr>
              <w:t>Not applicable</w:t>
            </w:r>
          </w:p>
        </w:tc>
        <w:tc>
          <w:tcPr>
            <w:tcW w:w="2835" w:type="dxa"/>
            <w:shd w:val="clear" w:color="auto" w:fill="auto"/>
            <w:tcMar>
              <w:top w:w="15" w:type="dxa"/>
              <w:left w:w="108" w:type="dxa"/>
              <w:bottom w:w="0" w:type="dxa"/>
              <w:right w:w="108" w:type="dxa"/>
            </w:tcMar>
            <w:hideMark/>
          </w:tcPr>
          <w:p w14:paraId="5A5BC0BD" w14:textId="77777777" w:rsidR="00584B44" w:rsidRPr="00CF1311" w:rsidRDefault="00584B44" w:rsidP="00584B44">
            <w:pPr>
              <w:rPr>
                <w:rFonts w:ascii="Arial" w:hAnsi="Arial" w:cs="Arial"/>
              </w:rPr>
            </w:pPr>
            <w:r w:rsidRPr="00CF1311">
              <w:rPr>
                <w:rFonts w:ascii="Arial" w:hAnsi="Arial" w:cs="Arial"/>
              </w:rPr>
              <w:t xml:space="preserve">40 sample gives ~100,000 visitors. All time periods </w:t>
            </w:r>
          </w:p>
        </w:tc>
      </w:tr>
      <w:tr w:rsidR="00F85D28" w:rsidRPr="004C3673" w14:paraId="4D53F7C3" w14:textId="77777777" w:rsidTr="009862F5">
        <w:trPr>
          <w:trHeight w:val="638"/>
        </w:trPr>
        <w:tc>
          <w:tcPr>
            <w:tcW w:w="2600" w:type="dxa"/>
            <w:shd w:val="clear" w:color="auto" w:fill="auto"/>
            <w:tcMar>
              <w:top w:w="15" w:type="dxa"/>
              <w:left w:w="108" w:type="dxa"/>
              <w:bottom w:w="0" w:type="dxa"/>
              <w:right w:w="108" w:type="dxa"/>
            </w:tcMar>
          </w:tcPr>
          <w:p w14:paraId="218746B5" w14:textId="67C2FA7B" w:rsidR="00F85D28" w:rsidRPr="00CF1311" w:rsidRDefault="00F85D28" w:rsidP="00F85D28">
            <w:pPr>
              <w:rPr>
                <w:rFonts w:ascii="Arial" w:hAnsi="Arial" w:cs="Arial"/>
              </w:rPr>
            </w:pPr>
            <w:r w:rsidRPr="00CF1311">
              <w:rPr>
                <w:rFonts w:ascii="Arial" w:hAnsi="Arial" w:cs="Arial"/>
              </w:rPr>
              <w:t xml:space="preserve">Domestic </w:t>
            </w:r>
            <w:r w:rsidR="00BD28C0" w:rsidRPr="00CF1311">
              <w:rPr>
                <w:rFonts w:ascii="Arial" w:hAnsi="Arial" w:cs="Arial"/>
              </w:rPr>
              <w:t>overnight</w:t>
            </w:r>
            <w:r w:rsidR="001E6BDF" w:rsidRPr="00CF1311">
              <w:rPr>
                <w:rFonts w:ascii="Arial" w:hAnsi="Arial" w:cs="Arial"/>
              </w:rPr>
              <w:t xml:space="preserve"> </w:t>
            </w:r>
            <w:r w:rsidR="001E6BDF" w:rsidRPr="00CF1311">
              <w:rPr>
                <w:rFonts w:ascii="Arial" w:hAnsi="Arial" w:cs="Arial"/>
              </w:rPr>
              <w:br/>
            </w:r>
            <w:r w:rsidRPr="00CF1311">
              <w:rPr>
                <w:rFonts w:ascii="Arial" w:hAnsi="Arial" w:cs="Arial"/>
              </w:rPr>
              <w:t>cross classifications</w:t>
            </w:r>
          </w:p>
        </w:tc>
        <w:tc>
          <w:tcPr>
            <w:tcW w:w="2400" w:type="dxa"/>
            <w:shd w:val="clear" w:color="auto" w:fill="auto"/>
            <w:tcMar>
              <w:top w:w="15" w:type="dxa"/>
              <w:left w:w="108" w:type="dxa"/>
              <w:bottom w:w="0" w:type="dxa"/>
              <w:right w:w="108" w:type="dxa"/>
            </w:tcMar>
          </w:tcPr>
          <w:p w14:paraId="5DB04C51" w14:textId="2BC46CD9" w:rsidR="00F85D28" w:rsidRPr="00CF1311" w:rsidRDefault="00F85D28" w:rsidP="00F85D28">
            <w:pPr>
              <w:rPr>
                <w:rFonts w:ascii="Arial" w:hAnsi="Arial" w:cs="Arial"/>
              </w:rPr>
            </w:pPr>
            <w:r w:rsidRPr="00CF1311">
              <w:rPr>
                <w:rFonts w:ascii="Arial" w:hAnsi="Arial" w:cs="Arial"/>
              </w:rPr>
              <w:t>Sample 40+ (&gt;39)</w:t>
            </w:r>
          </w:p>
        </w:tc>
        <w:tc>
          <w:tcPr>
            <w:tcW w:w="2083" w:type="dxa"/>
            <w:shd w:val="clear" w:color="auto" w:fill="auto"/>
            <w:tcMar>
              <w:top w:w="15" w:type="dxa"/>
              <w:left w:w="108" w:type="dxa"/>
              <w:bottom w:w="0" w:type="dxa"/>
              <w:right w:w="108" w:type="dxa"/>
            </w:tcMar>
          </w:tcPr>
          <w:p w14:paraId="4F6CB2F7" w14:textId="29908219" w:rsidR="00F85D28" w:rsidRPr="00CF1311" w:rsidRDefault="00F85D28" w:rsidP="00F85D28">
            <w:pPr>
              <w:rPr>
                <w:rFonts w:ascii="Arial" w:hAnsi="Arial" w:cs="Arial"/>
              </w:rPr>
            </w:pPr>
            <w:r w:rsidRPr="00CF1311">
              <w:rPr>
                <w:rFonts w:ascii="Arial" w:hAnsi="Arial" w:cs="Arial"/>
              </w:rPr>
              <w:t>Not applicable</w:t>
            </w:r>
          </w:p>
        </w:tc>
        <w:tc>
          <w:tcPr>
            <w:tcW w:w="2835" w:type="dxa"/>
            <w:shd w:val="clear" w:color="auto" w:fill="auto"/>
            <w:tcMar>
              <w:top w:w="15" w:type="dxa"/>
              <w:left w:w="108" w:type="dxa"/>
              <w:bottom w:w="0" w:type="dxa"/>
              <w:right w:w="108" w:type="dxa"/>
            </w:tcMar>
          </w:tcPr>
          <w:p w14:paraId="181A8B05" w14:textId="27DBB494" w:rsidR="00F85D28" w:rsidRPr="00CF1311" w:rsidRDefault="00F85D28" w:rsidP="00F85D28">
            <w:pPr>
              <w:rPr>
                <w:rFonts w:ascii="Arial" w:hAnsi="Arial" w:cs="Arial"/>
              </w:rPr>
            </w:pPr>
            <w:r w:rsidRPr="00CF1311">
              <w:rPr>
                <w:rFonts w:ascii="Arial" w:hAnsi="Arial" w:cs="Arial"/>
              </w:rPr>
              <w:t xml:space="preserve">All time periods </w:t>
            </w:r>
          </w:p>
        </w:tc>
      </w:tr>
    </w:tbl>
    <w:p w14:paraId="676CFE9A" w14:textId="77777777" w:rsidR="009A7271" w:rsidRPr="009A7271" w:rsidRDefault="009A7271" w:rsidP="009A7271">
      <w:pPr>
        <w:rPr>
          <w:sz w:val="8"/>
          <w:szCs w:val="8"/>
        </w:rPr>
      </w:pPr>
    </w:p>
    <w:p w14:paraId="1912A64F" w14:textId="6FDC09B3" w:rsidR="00074AAF" w:rsidRPr="00F906AA" w:rsidRDefault="00074AAF" w:rsidP="00074AAF">
      <w:pPr>
        <w:pStyle w:val="Heading3"/>
        <w:rPr>
          <w:rFonts w:ascii="Arial" w:hAnsi="Arial" w:cs="Arial"/>
          <w:color w:val="002060"/>
        </w:rPr>
      </w:pPr>
      <w:r w:rsidRPr="00F906AA">
        <w:rPr>
          <w:rFonts w:ascii="Arial" w:hAnsi="Arial" w:cs="Arial"/>
          <w:color w:val="002060"/>
        </w:rPr>
        <w:t>Table 2</w:t>
      </w:r>
      <w:r w:rsidR="003024D6" w:rsidRPr="00F906AA">
        <w:rPr>
          <w:rFonts w:ascii="Arial" w:hAnsi="Arial" w:cs="Arial"/>
          <w:color w:val="002060"/>
        </w:rPr>
        <w:t>.3.2</w:t>
      </w:r>
      <w:r w:rsidR="00DA7B43" w:rsidRPr="00F906AA">
        <w:rPr>
          <w:rFonts w:ascii="Arial" w:hAnsi="Arial" w:cs="Arial"/>
          <w:color w:val="002060"/>
        </w:rPr>
        <w:t>:</w:t>
      </w:r>
      <w:r w:rsidRPr="00F906AA">
        <w:rPr>
          <w:rFonts w:ascii="Arial" w:hAnsi="Arial" w:cs="Arial"/>
          <w:color w:val="002060"/>
        </w:rPr>
        <w:t xml:space="preserve"> NVS nights thresholds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00"/>
        <w:gridCol w:w="2400"/>
        <w:gridCol w:w="2083"/>
        <w:gridCol w:w="2835"/>
      </w:tblGrid>
      <w:tr w:rsidR="00E857C2" w:rsidRPr="004C3673" w14:paraId="67E4301B" w14:textId="77777777" w:rsidTr="0020294C">
        <w:trPr>
          <w:trHeight w:val="584"/>
          <w:tblHeader/>
        </w:trPr>
        <w:tc>
          <w:tcPr>
            <w:tcW w:w="2600" w:type="dxa"/>
            <w:shd w:val="clear" w:color="auto" w:fill="D9D9D9" w:themeFill="background1" w:themeFillShade="D9"/>
            <w:tcMar>
              <w:top w:w="15" w:type="dxa"/>
              <w:left w:w="108" w:type="dxa"/>
              <w:bottom w:w="0" w:type="dxa"/>
              <w:right w:w="108" w:type="dxa"/>
            </w:tcMar>
            <w:hideMark/>
          </w:tcPr>
          <w:p w14:paraId="04EDD619" w14:textId="2FAF08D7" w:rsidR="00E857C2" w:rsidRPr="004C3673" w:rsidRDefault="00E857C2" w:rsidP="00E857C2">
            <w:pPr>
              <w:rPr>
                <w:rFonts w:ascii="Arial" w:hAnsi="Arial" w:cs="Arial"/>
                <w:b/>
                <w:bCs/>
              </w:rPr>
            </w:pPr>
            <w:bookmarkStart w:id="22" w:name="Title_2" w:colFirst="0" w:colLast="0"/>
            <w:r w:rsidRPr="004C3673">
              <w:rPr>
                <w:rFonts w:ascii="Arial" w:hAnsi="Arial" w:cs="Arial"/>
                <w:b/>
                <w:bCs/>
              </w:rPr>
              <w:t>Measur</w:t>
            </w:r>
            <w:r w:rsidR="00EA1605" w:rsidRPr="004C3673">
              <w:rPr>
                <w:rFonts w:ascii="Arial" w:hAnsi="Arial" w:cs="Arial"/>
                <w:b/>
                <w:bCs/>
              </w:rPr>
              <w:t>e n</w:t>
            </w:r>
            <w:r w:rsidR="00C12181" w:rsidRPr="004C3673">
              <w:rPr>
                <w:rFonts w:ascii="Arial" w:hAnsi="Arial" w:cs="Arial"/>
                <w:b/>
                <w:bCs/>
              </w:rPr>
              <w:t>ights</w:t>
            </w:r>
          </w:p>
        </w:tc>
        <w:tc>
          <w:tcPr>
            <w:tcW w:w="2400" w:type="dxa"/>
            <w:shd w:val="clear" w:color="auto" w:fill="D9D9D9" w:themeFill="background1" w:themeFillShade="D9"/>
            <w:tcMar>
              <w:top w:w="15" w:type="dxa"/>
              <w:left w:w="108" w:type="dxa"/>
              <w:bottom w:w="0" w:type="dxa"/>
              <w:right w:w="108" w:type="dxa"/>
            </w:tcMar>
            <w:hideMark/>
          </w:tcPr>
          <w:p w14:paraId="333B2E3C" w14:textId="56306695" w:rsidR="00E857C2" w:rsidRPr="004C3673" w:rsidRDefault="00E857C2" w:rsidP="00E857C2">
            <w:pPr>
              <w:rPr>
                <w:rFonts w:ascii="Arial" w:hAnsi="Arial" w:cs="Arial"/>
              </w:rPr>
            </w:pPr>
            <w:r w:rsidRPr="004C3673">
              <w:rPr>
                <w:rFonts w:ascii="Arial" w:hAnsi="Arial" w:cs="Arial"/>
                <w:b/>
                <w:bCs/>
              </w:rPr>
              <w:t>Rule 1</w:t>
            </w:r>
          </w:p>
        </w:tc>
        <w:tc>
          <w:tcPr>
            <w:tcW w:w="2083" w:type="dxa"/>
            <w:shd w:val="clear" w:color="auto" w:fill="D9D9D9" w:themeFill="background1" w:themeFillShade="D9"/>
            <w:tcMar>
              <w:top w:w="15" w:type="dxa"/>
              <w:left w:w="108" w:type="dxa"/>
              <w:bottom w:w="0" w:type="dxa"/>
              <w:right w:w="108" w:type="dxa"/>
            </w:tcMar>
            <w:hideMark/>
          </w:tcPr>
          <w:p w14:paraId="006993A2" w14:textId="34090755" w:rsidR="00E857C2" w:rsidRPr="004C3673" w:rsidRDefault="00E857C2" w:rsidP="00E857C2">
            <w:pPr>
              <w:rPr>
                <w:rFonts w:ascii="Arial" w:hAnsi="Arial" w:cs="Arial"/>
              </w:rPr>
            </w:pPr>
            <w:r w:rsidRPr="004C3673">
              <w:rPr>
                <w:rFonts w:ascii="Arial" w:hAnsi="Arial" w:cs="Arial"/>
                <w:b/>
                <w:bCs/>
              </w:rPr>
              <w:t>Rule 2</w:t>
            </w:r>
          </w:p>
        </w:tc>
        <w:tc>
          <w:tcPr>
            <w:tcW w:w="2835" w:type="dxa"/>
            <w:shd w:val="clear" w:color="auto" w:fill="D9D9D9" w:themeFill="background1" w:themeFillShade="D9"/>
            <w:tcMar>
              <w:top w:w="15" w:type="dxa"/>
              <w:left w:w="108" w:type="dxa"/>
              <w:bottom w:w="0" w:type="dxa"/>
              <w:right w:w="108" w:type="dxa"/>
            </w:tcMar>
            <w:hideMark/>
          </w:tcPr>
          <w:p w14:paraId="6D516D8A" w14:textId="7B69FF00" w:rsidR="00E857C2" w:rsidRPr="004C3673" w:rsidRDefault="00E857C2" w:rsidP="00E857C2">
            <w:pPr>
              <w:rPr>
                <w:rFonts w:ascii="Arial" w:hAnsi="Arial" w:cs="Arial"/>
              </w:rPr>
            </w:pPr>
            <w:r w:rsidRPr="004C3673">
              <w:rPr>
                <w:rFonts w:ascii="Arial" w:hAnsi="Arial" w:cs="Arial"/>
                <w:b/>
                <w:bCs/>
              </w:rPr>
              <w:t>Notes</w:t>
            </w:r>
          </w:p>
        </w:tc>
      </w:tr>
      <w:bookmarkEnd w:id="22"/>
      <w:tr w:rsidR="00584B44" w:rsidRPr="004C3673" w14:paraId="55F680D7" w14:textId="77777777" w:rsidTr="00544AB2">
        <w:trPr>
          <w:trHeight w:val="584"/>
        </w:trPr>
        <w:tc>
          <w:tcPr>
            <w:tcW w:w="2600" w:type="dxa"/>
            <w:shd w:val="clear" w:color="auto" w:fill="auto"/>
            <w:tcMar>
              <w:top w:w="15" w:type="dxa"/>
              <w:left w:w="108" w:type="dxa"/>
              <w:bottom w:w="0" w:type="dxa"/>
              <w:right w:w="108" w:type="dxa"/>
            </w:tcMar>
            <w:hideMark/>
          </w:tcPr>
          <w:p w14:paraId="38167678" w14:textId="77777777" w:rsidR="00584B44" w:rsidRPr="004C3673" w:rsidRDefault="00584B44" w:rsidP="00584B44">
            <w:pPr>
              <w:rPr>
                <w:rFonts w:ascii="Arial" w:hAnsi="Arial" w:cs="Arial"/>
              </w:rPr>
            </w:pPr>
            <w:r w:rsidRPr="004C3673">
              <w:rPr>
                <w:rFonts w:ascii="Arial" w:hAnsi="Arial" w:cs="Arial"/>
              </w:rPr>
              <w:t>Domestic overnight</w:t>
            </w:r>
          </w:p>
        </w:tc>
        <w:tc>
          <w:tcPr>
            <w:tcW w:w="2400" w:type="dxa"/>
            <w:shd w:val="clear" w:color="auto" w:fill="auto"/>
            <w:tcMar>
              <w:top w:w="15" w:type="dxa"/>
              <w:left w:w="108" w:type="dxa"/>
              <w:bottom w:w="0" w:type="dxa"/>
              <w:right w:w="108" w:type="dxa"/>
            </w:tcMar>
            <w:hideMark/>
          </w:tcPr>
          <w:p w14:paraId="50CB9A55" w14:textId="66D6AE8C" w:rsidR="00584B44" w:rsidRPr="004C3673" w:rsidRDefault="00584B44" w:rsidP="00584B44">
            <w:pPr>
              <w:rPr>
                <w:rFonts w:ascii="Arial" w:hAnsi="Arial" w:cs="Arial"/>
              </w:rPr>
            </w:pPr>
            <w:r w:rsidRPr="004C3673">
              <w:rPr>
                <w:rFonts w:ascii="Arial" w:hAnsi="Arial" w:cs="Arial"/>
              </w:rPr>
              <w:t xml:space="preserve">Sample 40+ </w:t>
            </w:r>
            <w:r w:rsidR="001938CE" w:rsidRPr="004C3673">
              <w:rPr>
                <w:rFonts w:ascii="Arial" w:hAnsi="Arial" w:cs="Arial"/>
              </w:rPr>
              <w:t>(&gt;39)</w:t>
            </w:r>
          </w:p>
        </w:tc>
        <w:tc>
          <w:tcPr>
            <w:tcW w:w="2083" w:type="dxa"/>
            <w:shd w:val="clear" w:color="auto" w:fill="auto"/>
            <w:tcMar>
              <w:top w:w="15" w:type="dxa"/>
              <w:left w:w="108" w:type="dxa"/>
              <w:bottom w:w="0" w:type="dxa"/>
              <w:right w:w="108" w:type="dxa"/>
            </w:tcMar>
            <w:hideMark/>
          </w:tcPr>
          <w:p w14:paraId="2DEC8652" w14:textId="77777777" w:rsidR="00584B44" w:rsidRPr="004C3673" w:rsidRDefault="00584B44" w:rsidP="00584B44">
            <w:pPr>
              <w:rPr>
                <w:rFonts w:ascii="Arial" w:hAnsi="Arial" w:cs="Arial"/>
              </w:rPr>
            </w:pPr>
            <w:r w:rsidRPr="004C3673">
              <w:rPr>
                <w:rFonts w:ascii="Arial" w:hAnsi="Arial" w:cs="Arial"/>
              </w:rPr>
              <w:t xml:space="preserve">500,000+ nights </w:t>
            </w:r>
          </w:p>
        </w:tc>
        <w:tc>
          <w:tcPr>
            <w:tcW w:w="2835" w:type="dxa"/>
            <w:shd w:val="clear" w:color="auto" w:fill="auto"/>
            <w:tcMar>
              <w:top w:w="15" w:type="dxa"/>
              <w:left w:w="108" w:type="dxa"/>
              <w:bottom w:w="0" w:type="dxa"/>
              <w:right w:w="108" w:type="dxa"/>
            </w:tcMar>
            <w:hideMark/>
          </w:tcPr>
          <w:p w14:paraId="65E9D0A7" w14:textId="11CDDF34" w:rsidR="00584B44" w:rsidRPr="004C3673" w:rsidRDefault="00584B44" w:rsidP="00584B44">
            <w:pPr>
              <w:rPr>
                <w:rFonts w:ascii="Arial" w:hAnsi="Arial" w:cs="Arial"/>
              </w:rPr>
            </w:pPr>
            <w:r w:rsidRPr="004C3673">
              <w:rPr>
                <w:rFonts w:ascii="Arial" w:hAnsi="Arial" w:cs="Arial"/>
              </w:rPr>
              <w:t>95% C</w:t>
            </w:r>
            <w:r w:rsidR="00EA1605" w:rsidRPr="004C3673">
              <w:rPr>
                <w:rFonts w:ascii="Arial" w:hAnsi="Arial" w:cs="Arial"/>
              </w:rPr>
              <w:t xml:space="preserve">onfidence </w:t>
            </w:r>
            <w:r w:rsidRPr="004C3673">
              <w:rPr>
                <w:rFonts w:ascii="Arial" w:hAnsi="Arial" w:cs="Arial"/>
              </w:rPr>
              <w:t>I</w:t>
            </w:r>
            <w:r w:rsidR="00EA1605" w:rsidRPr="004C3673">
              <w:rPr>
                <w:rFonts w:ascii="Arial" w:hAnsi="Arial" w:cs="Arial"/>
              </w:rPr>
              <w:t>nterval</w:t>
            </w:r>
            <w:r w:rsidRPr="004C3673">
              <w:rPr>
                <w:rFonts w:ascii="Arial" w:hAnsi="Arial" w:cs="Arial"/>
              </w:rPr>
              <w:t xml:space="preserve"> = slightly less than 50%. All time periods</w:t>
            </w:r>
          </w:p>
        </w:tc>
      </w:tr>
      <w:tr w:rsidR="00D2157D" w:rsidRPr="004C3673" w14:paraId="437A5C3E" w14:textId="77777777" w:rsidTr="00544AB2">
        <w:trPr>
          <w:trHeight w:val="584"/>
        </w:trPr>
        <w:tc>
          <w:tcPr>
            <w:tcW w:w="2600" w:type="dxa"/>
            <w:shd w:val="clear" w:color="auto" w:fill="auto"/>
            <w:tcMar>
              <w:top w:w="15" w:type="dxa"/>
              <w:left w:w="108" w:type="dxa"/>
              <w:bottom w:w="0" w:type="dxa"/>
              <w:right w:w="108" w:type="dxa"/>
            </w:tcMar>
          </w:tcPr>
          <w:p w14:paraId="0130A245" w14:textId="37DEA2B0" w:rsidR="00D2157D" w:rsidRPr="00C8708D" w:rsidRDefault="00D2157D" w:rsidP="00D2157D">
            <w:pPr>
              <w:rPr>
                <w:rFonts w:ascii="Arial" w:hAnsi="Arial" w:cs="Arial"/>
              </w:rPr>
            </w:pPr>
            <w:r w:rsidRPr="00C8708D">
              <w:rPr>
                <w:rFonts w:ascii="Arial" w:hAnsi="Arial" w:cs="Arial"/>
              </w:rPr>
              <w:t>Domestic overnight</w:t>
            </w:r>
            <w:r w:rsidR="001E6BDF" w:rsidRPr="00C8708D">
              <w:rPr>
                <w:rFonts w:ascii="Arial" w:hAnsi="Arial" w:cs="Arial"/>
              </w:rPr>
              <w:t xml:space="preserve"> </w:t>
            </w:r>
            <w:r w:rsidRPr="00C8708D">
              <w:rPr>
                <w:rFonts w:ascii="Arial" w:hAnsi="Arial" w:cs="Arial"/>
              </w:rPr>
              <w:br/>
              <w:t>cross classifications</w:t>
            </w:r>
          </w:p>
        </w:tc>
        <w:tc>
          <w:tcPr>
            <w:tcW w:w="2400" w:type="dxa"/>
            <w:shd w:val="clear" w:color="auto" w:fill="auto"/>
            <w:tcMar>
              <w:top w:w="15" w:type="dxa"/>
              <w:left w:w="108" w:type="dxa"/>
              <w:bottom w:w="0" w:type="dxa"/>
              <w:right w:w="108" w:type="dxa"/>
            </w:tcMar>
          </w:tcPr>
          <w:p w14:paraId="41CDF27B" w14:textId="26A35E36" w:rsidR="00D2157D" w:rsidRPr="00C8708D" w:rsidRDefault="00D2157D" w:rsidP="00D2157D">
            <w:pPr>
              <w:rPr>
                <w:rFonts w:ascii="Arial" w:hAnsi="Arial" w:cs="Arial"/>
              </w:rPr>
            </w:pPr>
            <w:r w:rsidRPr="00C8708D">
              <w:rPr>
                <w:rFonts w:ascii="Arial" w:hAnsi="Arial" w:cs="Arial"/>
              </w:rPr>
              <w:t>Sample 40+ (&gt;39)</w:t>
            </w:r>
          </w:p>
        </w:tc>
        <w:tc>
          <w:tcPr>
            <w:tcW w:w="2083" w:type="dxa"/>
            <w:shd w:val="clear" w:color="auto" w:fill="auto"/>
            <w:tcMar>
              <w:top w:w="15" w:type="dxa"/>
              <w:left w:w="108" w:type="dxa"/>
              <w:bottom w:w="0" w:type="dxa"/>
              <w:right w:w="108" w:type="dxa"/>
            </w:tcMar>
          </w:tcPr>
          <w:p w14:paraId="14DC221E" w14:textId="6461FB0E" w:rsidR="00D2157D" w:rsidRPr="00C8708D" w:rsidRDefault="00D2157D" w:rsidP="00D2157D">
            <w:pPr>
              <w:rPr>
                <w:rFonts w:ascii="Arial" w:hAnsi="Arial" w:cs="Arial"/>
              </w:rPr>
            </w:pPr>
            <w:r w:rsidRPr="00C8708D">
              <w:rPr>
                <w:rFonts w:ascii="Arial" w:hAnsi="Arial" w:cs="Arial"/>
              </w:rPr>
              <w:t>Not applicable</w:t>
            </w:r>
          </w:p>
        </w:tc>
        <w:tc>
          <w:tcPr>
            <w:tcW w:w="2835" w:type="dxa"/>
            <w:shd w:val="clear" w:color="auto" w:fill="auto"/>
            <w:tcMar>
              <w:top w:w="15" w:type="dxa"/>
              <w:left w:w="108" w:type="dxa"/>
              <w:bottom w:w="0" w:type="dxa"/>
              <w:right w:w="108" w:type="dxa"/>
            </w:tcMar>
          </w:tcPr>
          <w:p w14:paraId="5C159823" w14:textId="1DE94631" w:rsidR="00D2157D" w:rsidRPr="00C8708D" w:rsidRDefault="00D2157D" w:rsidP="00D2157D">
            <w:pPr>
              <w:rPr>
                <w:rFonts w:ascii="Arial" w:hAnsi="Arial" w:cs="Arial"/>
              </w:rPr>
            </w:pPr>
            <w:r w:rsidRPr="00C8708D">
              <w:rPr>
                <w:rFonts w:ascii="Arial" w:hAnsi="Arial" w:cs="Arial"/>
              </w:rPr>
              <w:t>All time periods</w:t>
            </w:r>
          </w:p>
        </w:tc>
      </w:tr>
    </w:tbl>
    <w:p w14:paraId="4E28F41E" w14:textId="77777777" w:rsidR="009A7271" w:rsidRPr="009A7271" w:rsidRDefault="009A7271" w:rsidP="009A7271">
      <w:pPr>
        <w:rPr>
          <w:sz w:val="8"/>
          <w:szCs w:val="8"/>
        </w:rPr>
      </w:pPr>
    </w:p>
    <w:p w14:paraId="63A429B1" w14:textId="12BF40E3" w:rsidR="00074AAF" w:rsidRPr="00F906AA" w:rsidRDefault="00074AAF" w:rsidP="00074AAF">
      <w:pPr>
        <w:pStyle w:val="Heading3"/>
        <w:rPr>
          <w:rFonts w:ascii="Arial" w:hAnsi="Arial" w:cs="Arial"/>
          <w:color w:val="002060"/>
        </w:rPr>
      </w:pPr>
      <w:r w:rsidRPr="00F906AA">
        <w:rPr>
          <w:rFonts w:ascii="Arial" w:hAnsi="Arial" w:cs="Arial"/>
          <w:color w:val="002060"/>
        </w:rPr>
        <w:t xml:space="preserve">Table </w:t>
      </w:r>
      <w:r w:rsidR="00DA7B43" w:rsidRPr="00F906AA">
        <w:rPr>
          <w:rFonts w:ascii="Arial" w:hAnsi="Arial" w:cs="Arial"/>
          <w:color w:val="002060"/>
        </w:rPr>
        <w:t>2.3.</w:t>
      </w:r>
      <w:r w:rsidRPr="00F906AA">
        <w:rPr>
          <w:rFonts w:ascii="Arial" w:hAnsi="Arial" w:cs="Arial"/>
          <w:color w:val="002060"/>
        </w:rPr>
        <w:t>3</w:t>
      </w:r>
      <w:r w:rsidR="00DA7B43" w:rsidRPr="00F906AA">
        <w:rPr>
          <w:rFonts w:ascii="Arial" w:hAnsi="Arial" w:cs="Arial"/>
          <w:color w:val="002060"/>
        </w:rPr>
        <w:t>:</w:t>
      </w:r>
      <w:r w:rsidRPr="00F906AA">
        <w:rPr>
          <w:rFonts w:ascii="Arial" w:hAnsi="Arial" w:cs="Arial"/>
          <w:color w:val="002060"/>
        </w:rPr>
        <w:t xml:space="preserve"> NVS spend </w:t>
      </w:r>
      <w:proofErr w:type="gramStart"/>
      <w:r w:rsidRPr="00F906AA">
        <w:rPr>
          <w:rFonts w:ascii="Arial" w:hAnsi="Arial" w:cs="Arial"/>
          <w:color w:val="002060"/>
        </w:rPr>
        <w:t>thresholds</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00"/>
        <w:gridCol w:w="2400"/>
        <w:gridCol w:w="2083"/>
        <w:gridCol w:w="2835"/>
      </w:tblGrid>
      <w:tr w:rsidR="00E857C2" w:rsidRPr="004C3673" w14:paraId="7CD8F8D9" w14:textId="77777777" w:rsidTr="0020294C">
        <w:trPr>
          <w:trHeight w:val="584"/>
          <w:tblHeader/>
        </w:trPr>
        <w:tc>
          <w:tcPr>
            <w:tcW w:w="2600" w:type="dxa"/>
            <w:shd w:val="clear" w:color="auto" w:fill="D9D9D9" w:themeFill="background1" w:themeFillShade="D9"/>
            <w:tcMar>
              <w:top w:w="15" w:type="dxa"/>
              <w:left w:w="108" w:type="dxa"/>
              <w:bottom w:w="0" w:type="dxa"/>
              <w:right w:w="108" w:type="dxa"/>
            </w:tcMar>
            <w:hideMark/>
          </w:tcPr>
          <w:p w14:paraId="6CB9A0B4" w14:textId="1796EC20" w:rsidR="00E857C2" w:rsidRPr="004C3673" w:rsidRDefault="00E857C2" w:rsidP="00E857C2">
            <w:pPr>
              <w:rPr>
                <w:rFonts w:ascii="Arial" w:hAnsi="Arial" w:cs="Arial"/>
                <w:b/>
                <w:bCs/>
              </w:rPr>
            </w:pPr>
            <w:bookmarkStart w:id="23" w:name="Title_3" w:colFirst="0" w:colLast="0"/>
            <w:r w:rsidRPr="004C3673">
              <w:rPr>
                <w:rFonts w:ascii="Arial" w:hAnsi="Arial" w:cs="Arial"/>
                <w:b/>
                <w:bCs/>
              </w:rPr>
              <w:t>Measure</w:t>
            </w:r>
            <w:r w:rsidR="00EA1605" w:rsidRPr="004C3673">
              <w:rPr>
                <w:rFonts w:ascii="Arial" w:hAnsi="Arial" w:cs="Arial"/>
                <w:b/>
                <w:bCs/>
              </w:rPr>
              <w:t xml:space="preserve"> </w:t>
            </w:r>
            <w:proofErr w:type="gramStart"/>
            <w:r w:rsidR="00EA1605" w:rsidRPr="004C3673">
              <w:rPr>
                <w:rFonts w:ascii="Arial" w:hAnsi="Arial" w:cs="Arial"/>
                <w:b/>
                <w:bCs/>
              </w:rPr>
              <w:t>s</w:t>
            </w:r>
            <w:r w:rsidRPr="004C3673">
              <w:rPr>
                <w:rFonts w:ascii="Arial" w:hAnsi="Arial" w:cs="Arial"/>
                <w:b/>
                <w:bCs/>
              </w:rPr>
              <w:t>pend</w:t>
            </w:r>
            <w:proofErr w:type="gramEnd"/>
          </w:p>
        </w:tc>
        <w:tc>
          <w:tcPr>
            <w:tcW w:w="2400" w:type="dxa"/>
            <w:shd w:val="clear" w:color="auto" w:fill="D9D9D9" w:themeFill="background1" w:themeFillShade="D9"/>
            <w:tcMar>
              <w:top w:w="15" w:type="dxa"/>
              <w:left w:w="108" w:type="dxa"/>
              <w:bottom w:w="0" w:type="dxa"/>
              <w:right w:w="108" w:type="dxa"/>
            </w:tcMar>
            <w:hideMark/>
          </w:tcPr>
          <w:p w14:paraId="2857091C" w14:textId="53DF18AF" w:rsidR="00E857C2" w:rsidRPr="004C3673" w:rsidRDefault="00E857C2" w:rsidP="00E857C2">
            <w:pPr>
              <w:rPr>
                <w:rFonts w:ascii="Arial" w:hAnsi="Arial" w:cs="Arial"/>
              </w:rPr>
            </w:pPr>
            <w:r w:rsidRPr="004C3673">
              <w:rPr>
                <w:rFonts w:ascii="Arial" w:hAnsi="Arial" w:cs="Arial"/>
                <w:b/>
                <w:bCs/>
              </w:rPr>
              <w:t>Rule 1</w:t>
            </w:r>
          </w:p>
        </w:tc>
        <w:tc>
          <w:tcPr>
            <w:tcW w:w="2083" w:type="dxa"/>
            <w:shd w:val="clear" w:color="auto" w:fill="D9D9D9" w:themeFill="background1" w:themeFillShade="D9"/>
            <w:tcMar>
              <w:top w:w="15" w:type="dxa"/>
              <w:left w:w="108" w:type="dxa"/>
              <w:bottom w:w="0" w:type="dxa"/>
              <w:right w:w="108" w:type="dxa"/>
            </w:tcMar>
            <w:hideMark/>
          </w:tcPr>
          <w:p w14:paraId="2E054A6B" w14:textId="3E249A9C" w:rsidR="00E857C2" w:rsidRPr="004C3673" w:rsidRDefault="00E857C2" w:rsidP="00E857C2">
            <w:pPr>
              <w:rPr>
                <w:rFonts w:ascii="Arial" w:hAnsi="Arial" w:cs="Arial"/>
              </w:rPr>
            </w:pPr>
            <w:r w:rsidRPr="004C3673">
              <w:rPr>
                <w:rFonts w:ascii="Arial" w:hAnsi="Arial" w:cs="Arial"/>
                <w:b/>
                <w:bCs/>
              </w:rPr>
              <w:t>Rule 2</w:t>
            </w:r>
          </w:p>
        </w:tc>
        <w:tc>
          <w:tcPr>
            <w:tcW w:w="2835" w:type="dxa"/>
            <w:shd w:val="clear" w:color="auto" w:fill="D9D9D9" w:themeFill="background1" w:themeFillShade="D9"/>
            <w:tcMar>
              <w:top w:w="15" w:type="dxa"/>
              <w:left w:w="108" w:type="dxa"/>
              <w:bottom w:w="0" w:type="dxa"/>
              <w:right w:w="108" w:type="dxa"/>
            </w:tcMar>
            <w:hideMark/>
          </w:tcPr>
          <w:p w14:paraId="1C04BD25" w14:textId="0BE78B33" w:rsidR="00E857C2" w:rsidRPr="004C3673" w:rsidRDefault="00E857C2" w:rsidP="00E857C2">
            <w:pPr>
              <w:rPr>
                <w:rFonts w:ascii="Arial" w:hAnsi="Arial" w:cs="Arial"/>
              </w:rPr>
            </w:pPr>
            <w:r w:rsidRPr="004C3673">
              <w:rPr>
                <w:rFonts w:ascii="Arial" w:hAnsi="Arial" w:cs="Arial"/>
                <w:b/>
                <w:bCs/>
              </w:rPr>
              <w:t>Notes</w:t>
            </w:r>
          </w:p>
        </w:tc>
      </w:tr>
      <w:bookmarkEnd w:id="23"/>
      <w:tr w:rsidR="00584B44" w:rsidRPr="004C3673" w14:paraId="73820E28" w14:textId="77777777" w:rsidTr="00544AB2">
        <w:trPr>
          <w:trHeight w:val="584"/>
        </w:trPr>
        <w:tc>
          <w:tcPr>
            <w:tcW w:w="2600" w:type="dxa"/>
            <w:shd w:val="clear" w:color="auto" w:fill="auto"/>
            <w:tcMar>
              <w:top w:w="15" w:type="dxa"/>
              <w:left w:w="108" w:type="dxa"/>
              <w:bottom w:w="0" w:type="dxa"/>
              <w:right w:w="108" w:type="dxa"/>
            </w:tcMar>
            <w:hideMark/>
          </w:tcPr>
          <w:p w14:paraId="2ACF96D1" w14:textId="77777777" w:rsidR="00584B44" w:rsidRPr="004C3673" w:rsidRDefault="00584B44" w:rsidP="00584B44">
            <w:pPr>
              <w:rPr>
                <w:rFonts w:ascii="Arial" w:hAnsi="Arial" w:cs="Arial"/>
              </w:rPr>
            </w:pPr>
            <w:r w:rsidRPr="004C3673">
              <w:rPr>
                <w:rFonts w:ascii="Arial" w:hAnsi="Arial" w:cs="Arial"/>
              </w:rPr>
              <w:t>Domestic daytrips</w:t>
            </w:r>
          </w:p>
        </w:tc>
        <w:tc>
          <w:tcPr>
            <w:tcW w:w="2400" w:type="dxa"/>
            <w:shd w:val="clear" w:color="auto" w:fill="auto"/>
            <w:tcMar>
              <w:top w:w="15" w:type="dxa"/>
              <w:left w:w="108" w:type="dxa"/>
              <w:bottom w:w="0" w:type="dxa"/>
              <w:right w:w="108" w:type="dxa"/>
            </w:tcMar>
            <w:hideMark/>
          </w:tcPr>
          <w:p w14:paraId="78D99EAC" w14:textId="77777777" w:rsidR="00584B44" w:rsidRPr="004C3673" w:rsidRDefault="00584B44" w:rsidP="00584B44">
            <w:pPr>
              <w:rPr>
                <w:rFonts w:ascii="Arial" w:hAnsi="Arial" w:cs="Arial"/>
              </w:rPr>
            </w:pPr>
            <w:r w:rsidRPr="004C3673">
              <w:rPr>
                <w:rFonts w:ascii="Arial" w:hAnsi="Arial" w:cs="Arial"/>
              </w:rPr>
              <w:t>200,000+ visitors</w:t>
            </w:r>
          </w:p>
        </w:tc>
        <w:tc>
          <w:tcPr>
            <w:tcW w:w="2083" w:type="dxa"/>
            <w:shd w:val="clear" w:color="auto" w:fill="auto"/>
            <w:tcMar>
              <w:top w:w="15" w:type="dxa"/>
              <w:left w:w="108" w:type="dxa"/>
              <w:bottom w:w="0" w:type="dxa"/>
              <w:right w:w="108" w:type="dxa"/>
            </w:tcMar>
            <w:hideMark/>
          </w:tcPr>
          <w:p w14:paraId="4FA92904" w14:textId="09A251EF" w:rsidR="00584B44" w:rsidRPr="004C3673" w:rsidRDefault="00E0228E" w:rsidP="00584B44">
            <w:pPr>
              <w:rPr>
                <w:rFonts w:ascii="Arial" w:hAnsi="Arial" w:cs="Arial"/>
              </w:rPr>
            </w:pPr>
            <w:r w:rsidRPr="004C3673">
              <w:rPr>
                <w:rFonts w:ascii="Arial" w:hAnsi="Arial" w:cs="Arial"/>
              </w:rPr>
              <w:t xml:space="preserve">Publish (p) </w:t>
            </w:r>
            <w:r w:rsidR="00584B44" w:rsidRPr="004C3673">
              <w:rPr>
                <w:rFonts w:ascii="Arial" w:hAnsi="Arial" w:cs="Arial"/>
              </w:rPr>
              <w:t>/n</w:t>
            </w:r>
            <w:r w:rsidRPr="004C3673">
              <w:rPr>
                <w:rFonts w:ascii="Arial" w:hAnsi="Arial" w:cs="Arial"/>
              </w:rPr>
              <w:t xml:space="preserve">on publish (np) </w:t>
            </w:r>
            <w:r w:rsidR="00C47D51">
              <w:rPr>
                <w:rFonts w:ascii="Arial" w:hAnsi="Arial" w:cs="Arial"/>
              </w:rPr>
              <w:t>i</w:t>
            </w:r>
            <w:r w:rsidR="00C47D51">
              <w:t xml:space="preserve">n </w:t>
            </w:r>
            <w:proofErr w:type="spellStart"/>
            <w:r w:rsidR="00584B44" w:rsidRPr="004C3673">
              <w:rPr>
                <w:rFonts w:ascii="Arial" w:hAnsi="Arial" w:cs="Arial"/>
              </w:rPr>
              <w:t>SuperCROSS</w:t>
            </w:r>
            <w:proofErr w:type="spellEnd"/>
            <w:r w:rsidR="00482864" w:rsidRPr="004C3673">
              <w:rPr>
                <w:rFonts w:ascii="Arial" w:hAnsi="Arial" w:cs="Arial"/>
              </w:rPr>
              <w:t xml:space="preserve"> (this is a software tool to analyse data)</w:t>
            </w:r>
            <w:r w:rsidR="00244F81" w:rsidRPr="004C3673">
              <w:rPr>
                <w:rFonts w:ascii="Arial" w:hAnsi="Arial" w:cs="Arial"/>
                <w:color w:val="000000"/>
                <w:kern w:val="24"/>
              </w:rPr>
              <w:t>.</w:t>
            </w:r>
          </w:p>
        </w:tc>
        <w:tc>
          <w:tcPr>
            <w:tcW w:w="2835" w:type="dxa"/>
            <w:shd w:val="clear" w:color="auto" w:fill="auto"/>
            <w:tcMar>
              <w:top w:w="15" w:type="dxa"/>
              <w:left w:w="108" w:type="dxa"/>
              <w:bottom w:w="0" w:type="dxa"/>
              <w:right w:w="108" w:type="dxa"/>
            </w:tcMar>
            <w:hideMark/>
          </w:tcPr>
          <w:p w14:paraId="27975419" w14:textId="77777777" w:rsidR="00584B44" w:rsidRPr="004C3673" w:rsidRDefault="00584B44" w:rsidP="00584B44">
            <w:pPr>
              <w:rPr>
                <w:rFonts w:ascii="Arial" w:hAnsi="Arial" w:cs="Arial"/>
              </w:rPr>
            </w:pPr>
            <w:r w:rsidRPr="004C3673">
              <w:rPr>
                <w:rFonts w:ascii="Arial" w:hAnsi="Arial" w:cs="Arial"/>
              </w:rPr>
              <w:t xml:space="preserve">All time periods </w:t>
            </w:r>
          </w:p>
        </w:tc>
      </w:tr>
      <w:tr w:rsidR="00584B44" w:rsidRPr="004C3673" w14:paraId="3B10DF20" w14:textId="77777777" w:rsidTr="00544AB2">
        <w:trPr>
          <w:trHeight w:val="584"/>
        </w:trPr>
        <w:tc>
          <w:tcPr>
            <w:tcW w:w="2600" w:type="dxa"/>
            <w:shd w:val="clear" w:color="auto" w:fill="auto"/>
            <w:tcMar>
              <w:top w:w="15" w:type="dxa"/>
              <w:left w:w="108" w:type="dxa"/>
              <w:bottom w:w="0" w:type="dxa"/>
              <w:right w:w="108" w:type="dxa"/>
            </w:tcMar>
            <w:hideMark/>
          </w:tcPr>
          <w:p w14:paraId="5F6614E2" w14:textId="1ECABEC8" w:rsidR="00584B44" w:rsidRPr="004C3673" w:rsidRDefault="00584B44" w:rsidP="00584B44">
            <w:pPr>
              <w:rPr>
                <w:rFonts w:ascii="Arial" w:hAnsi="Arial" w:cs="Arial"/>
              </w:rPr>
            </w:pPr>
            <w:r w:rsidRPr="004C3673">
              <w:rPr>
                <w:rFonts w:ascii="Arial" w:hAnsi="Arial" w:cs="Arial"/>
              </w:rPr>
              <w:t xml:space="preserve">Domestic daytrips </w:t>
            </w:r>
            <w:r w:rsidRPr="004C3673">
              <w:rPr>
                <w:rFonts w:ascii="Arial" w:hAnsi="Arial" w:cs="Arial"/>
              </w:rPr>
              <w:br/>
              <w:t>cross classifications</w:t>
            </w:r>
          </w:p>
        </w:tc>
        <w:tc>
          <w:tcPr>
            <w:tcW w:w="2400" w:type="dxa"/>
            <w:shd w:val="clear" w:color="auto" w:fill="auto"/>
            <w:tcMar>
              <w:top w:w="15" w:type="dxa"/>
              <w:left w:w="108" w:type="dxa"/>
              <w:bottom w:w="0" w:type="dxa"/>
              <w:right w:w="108" w:type="dxa"/>
            </w:tcMar>
            <w:hideMark/>
          </w:tcPr>
          <w:p w14:paraId="6A3C01C8" w14:textId="77777777" w:rsidR="00584B44" w:rsidRPr="004C3673" w:rsidRDefault="00584B44" w:rsidP="00584B44">
            <w:pPr>
              <w:rPr>
                <w:rFonts w:ascii="Arial" w:hAnsi="Arial" w:cs="Arial"/>
              </w:rPr>
            </w:pPr>
            <w:r w:rsidRPr="004C3673">
              <w:rPr>
                <w:rFonts w:ascii="Arial" w:hAnsi="Arial" w:cs="Arial"/>
              </w:rPr>
              <w:t>Sample 40+ (&gt;39)</w:t>
            </w:r>
          </w:p>
        </w:tc>
        <w:tc>
          <w:tcPr>
            <w:tcW w:w="2083" w:type="dxa"/>
            <w:shd w:val="clear" w:color="auto" w:fill="auto"/>
            <w:tcMar>
              <w:top w:w="15" w:type="dxa"/>
              <w:left w:w="108" w:type="dxa"/>
              <w:bottom w:w="0" w:type="dxa"/>
              <w:right w:w="108" w:type="dxa"/>
            </w:tcMar>
            <w:hideMark/>
          </w:tcPr>
          <w:p w14:paraId="1B1D5423" w14:textId="2F68A2F1" w:rsidR="00584B44" w:rsidRPr="004C3673" w:rsidRDefault="00D6218A" w:rsidP="00584B44">
            <w:pPr>
              <w:rPr>
                <w:rFonts w:ascii="Arial" w:hAnsi="Arial" w:cs="Arial"/>
              </w:rPr>
            </w:pPr>
            <w:r w:rsidRPr="004C3673">
              <w:rPr>
                <w:rFonts w:ascii="Arial" w:hAnsi="Arial" w:cs="Arial"/>
              </w:rPr>
              <w:t>Not applicable</w:t>
            </w:r>
          </w:p>
        </w:tc>
        <w:tc>
          <w:tcPr>
            <w:tcW w:w="2835" w:type="dxa"/>
            <w:shd w:val="clear" w:color="auto" w:fill="auto"/>
            <w:tcMar>
              <w:top w:w="15" w:type="dxa"/>
              <w:left w:w="108" w:type="dxa"/>
              <w:bottom w:w="0" w:type="dxa"/>
              <w:right w:w="108" w:type="dxa"/>
            </w:tcMar>
            <w:hideMark/>
          </w:tcPr>
          <w:p w14:paraId="4F318D91" w14:textId="77777777" w:rsidR="00584B44" w:rsidRPr="004C3673" w:rsidRDefault="00584B44" w:rsidP="00584B44">
            <w:pPr>
              <w:rPr>
                <w:rFonts w:ascii="Arial" w:hAnsi="Arial" w:cs="Arial"/>
              </w:rPr>
            </w:pPr>
            <w:r w:rsidRPr="004C3673">
              <w:rPr>
                <w:rFonts w:ascii="Arial" w:hAnsi="Arial" w:cs="Arial"/>
              </w:rPr>
              <w:t xml:space="preserve">All time periods </w:t>
            </w:r>
          </w:p>
        </w:tc>
      </w:tr>
      <w:tr w:rsidR="00584B44" w:rsidRPr="004C3673" w14:paraId="0C6E933A" w14:textId="77777777" w:rsidTr="00544AB2">
        <w:trPr>
          <w:trHeight w:val="584"/>
        </w:trPr>
        <w:tc>
          <w:tcPr>
            <w:tcW w:w="2600" w:type="dxa"/>
            <w:shd w:val="clear" w:color="auto" w:fill="auto"/>
            <w:tcMar>
              <w:top w:w="15" w:type="dxa"/>
              <w:left w:w="108" w:type="dxa"/>
              <w:bottom w:w="0" w:type="dxa"/>
              <w:right w:w="108" w:type="dxa"/>
            </w:tcMar>
            <w:hideMark/>
          </w:tcPr>
          <w:p w14:paraId="114C943D" w14:textId="77777777" w:rsidR="00584B44" w:rsidRPr="004C3673" w:rsidRDefault="00584B44" w:rsidP="00584B44">
            <w:pPr>
              <w:rPr>
                <w:rFonts w:ascii="Arial" w:hAnsi="Arial" w:cs="Arial"/>
              </w:rPr>
            </w:pPr>
            <w:r w:rsidRPr="004C3673">
              <w:rPr>
                <w:rFonts w:ascii="Arial" w:hAnsi="Arial" w:cs="Arial"/>
              </w:rPr>
              <w:t>Domestic overnight</w:t>
            </w:r>
          </w:p>
        </w:tc>
        <w:tc>
          <w:tcPr>
            <w:tcW w:w="2400" w:type="dxa"/>
            <w:shd w:val="clear" w:color="auto" w:fill="auto"/>
            <w:tcMar>
              <w:top w:w="15" w:type="dxa"/>
              <w:left w:w="108" w:type="dxa"/>
              <w:bottom w:w="0" w:type="dxa"/>
              <w:right w:w="108" w:type="dxa"/>
            </w:tcMar>
            <w:hideMark/>
          </w:tcPr>
          <w:p w14:paraId="41DF91D2" w14:textId="77777777" w:rsidR="00584B44" w:rsidRPr="004C3673" w:rsidRDefault="00584B44" w:rsidP="00584B44">
            <w:pPr>
              <w:rPr>
                <w:rFonts w:ascii="Arial" w:hAnsi="Arial" w:cs="Arial"/>
              </w:rPr>
            </w:pPr>
            <w:r w:rsidRPr="004C3673">
              <w:rPr>
                <w:rFonts w:ascii="Arial" w:hAnsi="Arial" w:cs="Arial"/>
              </w:rPr>
              <w:t>Sample 40+ (&gt;39)</w:t>
            </w:r>
          </w:p>
        </w:tc>
        <w:tc>
          <w:tcPr>
            <w:tcW w:w="2083" w:type="dxa"/>
            <w:shd w:val="clear" w:color="auto" w:fill="auto"/>
            <w:tcMar>
              <w:top w:w="15" w:type="dxa"/>
              <w:left w:w="108" w:type="dxa"/>
              <w:bottom w:w="0" w:type="dxa"/>
              <w:right w:w="108" w:type="dxa"/>
            </w:tcMar>
            <w:hideMark/>
          </w:tcPr>
          <w:p w14:paraId="38E9FED4" w14:textId="4C8A3ACB" w:rsidR="00584B44" w:rsidRPr="004C3673" w:rsidRDefault="00E0228E" w:rsidP="00584B44">
            <w:pPr>
              <w:rPr>
                <w:rFonts w:ascii="Arial" w:hAnsi="Arial" w:cs="Arial"/>
              </w:rPr>
            </w:pPr>
            <w:r w:rsidRPr="004C3673">
              <w:rPr>
                <w:rFonts w:ascii="Arial" w:hAnsi="Arial" w:cs="Arial"/>
              </w:rPr>
              <w:t xml:space="preserve">Publish (p) /non publish (np) </w:t>
            </w:r>
            <w:r w:rsidR="00C47D51">
              <w:rPr>
                <w:rFonts w:ascii="Arial" w:hAnsi="Arial" w:cs="Arial"/>
              </w:rPr>
              <w:t>i</w:t>
            </w:r>
            <w:r w:rsidR="00C47D51">
              <w:t>n</w:t>
            </w:r>
            <w:r w:rsidRPr="004C3673">
              <w:rPr>
                <w:rFonts w:ascii="Arial" w:hAnsi="Arial" w:cs="Arial"/>
              </w:rPr>
              <w:t xml:space="preserve"> </w:t>
            </w:r>
            <w:proofErr w:type="spellStart"/>
            <w:r w:rsidRPr="004C3673">
              <w:rPr>
                <w:rFonts w:ascii="Arial" w:hAnsi="Arial" w:cs="Arial"/>
              </w:rPr>
              <w:t>SuperCROSS</w:t>
            </w:r>
            <w:proofErr w:type="spellEnd"/>
            <w:r w:rsidR="00482864" w:rsidRPr="004C3673">
              <w:rPr>
                <w:rFonts w:ascii="Arial" w:hAnsi="Arial" w:cs="Arial"/>
              </w:rPr>
              <w:t xml:space="preserve"> (this is a software tool to analyse data)</w:t>
            </w:r>
            <w:r w:rsidRPr="004C3673">
              <w:rPr>
                <w:rFonts w:ascii="Arial" w:hAnsi="Arial" w:cs="Arial"/>
                <w:color w:val="000000"/>
                <w:kern w:val="24"/>
              </w:rPr>
              <w:t>.</w:t>
            </w:r>
          </w:p>
        </w:tc>
        <w:tc>
          <w:tcPr>
            <w:tcW w:w="2835" w:type="dxa"/>
            <w:shd w:val="clear" w:color="auto" w:fill="auto"/>
            <w:tcMar>
              <w:top w:w="15" w:type="dxa"/>
              <w:left w:w="108" w:type="dxa"/>
              <w:bottom w:w="0" w:type="dxa"/>
              <w:right w:w="108" w:type="dxa"/>
            </w:tcMar>
            <w:hideMark/>
          </w:tcPr>
          <w:p w14:paraId="03E1E72E" w14:textId="77777777" w:rsidR="00584B44" w:rsidRPr="004C3673" w:rsidRDefault="00584B44" w:rsidP="00584B44">
            <w:pPr>
              <w:rPr>
                <w:rFonts w:ascii="Arial" w:hAnsi="Arial" w:cs="Arial"/>
              </w:rPr>
            </w:pPr>
            <w:r w:rsidRPr="004C3673">
              <w:rPr>
                <w:rFonts w:ascii="Arial" w:hAnsi="Arial" w:cs="Arial"/>
              </w:rPr>
              <w:t xml:space="preserve">All time periods </w:t>
            </w:r>
          </w:p>
        </w:tc>
      </w:tr>
      <w:tr w:rsidR="00584B44" w:rsidRPr="004C3673" w14:paraId="681E966B" w14:textId="77777777" w:rsidTr="00544AB2">
        <w:trPr>
          <w:trHeight w:val="584"/>
        </w:trPr>
        <w:tc>
          <w:tcPr>
            <w:tcW w:w="2600" w:type="dxa"/>
            <w:shd w:val="clear" w:color="auto" w:fill="auto"/>
            <w:tcMar>
              <w:top w:w="15" w:type="dxa"/>
              <w:left w:w="108" w:type="dxa"/>
              <w:bottom w:w="0" w:type="dxa"/>
              <w:right w:w="108" w:type="dxa"/>
            </w:tcMar>
            <w:hideMark/>
          </w:tcPr>
          <w:p w14:paraId="0912BE70" w14:textId="6305CA08" w:rsidR="00584B44" w:rsidRPr="004C3673" w:rsidRDefault="00584B44" w:rsidP="00584B44">
            <w:pPr>
              <w:rPr>
                <w:rFonts w:ascii="Arial" w:hAnsi="Arial" w:cs="Arial"/>
              </w:rPr>
            </w:pPr>
            <w:r w:rsidRPr="004C3673">
              <w:rPr>
                <w:rFonts w:ascii="Arial" w:hAnsi="Arial" w:cs="Arial"/>
              </w:rPr>
              <w:t>Domestic overnight</w:t>
            </w:r>
            <w:r w:rsidRPr="004C3673">
              <w:rPr>
                <w:rFonts w:ascii="Arial" w:hAnsi="Arial" w:cs="Arial"/>
              </w:rPr>
              <w:br/>
              <w:t>cross classifications</w:t>
            </w:r>
          </w:p>
        </w:tc>
        <w:tc>
          <w:tcPr>
            <w:tcW w:w="2400" w:type="dxa"/>
            <w:shd w:val="clear" w:color="auto" w:fill="auto"/>
            <w:tcMar>
              <w:top w:w="15" w:type="dxa"/>
              <w:left w:w="108" w:type="dxa"/>
              <w:bottom w:w="0" w:type="dxa"/>
              <w:right w:w="108" w:type="dxa"/>
            </w:tcMar>
            <w:hideMark/>
          </w:tcPr>
          <w:p w14:paraId="2F20822A" w14:textId="77777777" w:rsidR="00584B44" w:rsidRPr="004C3673" w:rsidRDefault="00584B44" w:rsidP="00584B44">
            <w:pPr>
              <w:rPr>
                <w:rFonts w:ascii="Arial" w:hAnsi="Arial" w:cs="Arial"/>
              </w:rPr>
            </w:pPr>
            <w:r w:rsidRPr="004C3673">
              <w:rPr>
                <w:rFonts w:ascii="Arial" w:hAnsi="Arial" w:cs="Arial"/>
              </w:rPr>
              <w:t>Sample 40+ (&gt;39)</w:t>
            </w:r>
          </w:p>
        </w:tc>
        <w:tc>
          <w:tcPr>
            <w:tcW w:w="2083" w:type="dxa"/>
            <w:shd w:val="clear" w:color="auto" w:fill="auto"/>
            <w:tcMar>
              <w:top w:w="15" w:type="dxa"/>
              <w:left w:w="108" w:type="dxa"/>
              <w:bottom w:w="0" w:type="dxa"/>
              <w:right w:w="108" w:type="dxa"/>
            </w:tcMar>
            <w:hideMark/>
          </w:tcPr>
          <w:p w14:paraId="0D2E56EF" w14:textId="62D62C05" w:rsidR="00584B44" w:rsidRPr="004C3673" w:rsidRDefault="00D6218A" w:rsidP="00584B44">
            <w:pPr>
              <w:rPr>
                <w:rFonts w:ascii="Arial" w:hAnsi="Arial" w:cs="Arial"/>
              </w:rPr>
            </w:pPr>
            <w:r w:rsidRPr="004C3673">
              <w:rPr>
                <w:rFonts w:ascii="Arial" w:hAnsi="Arial" w:cs="Arial"/>
              </w:rPr>
              <w:t>Not applicable</w:t>
            </w:r>
          </w:p>
        </w:tc>
        <w:tc>
          <w:tcPr>
            <w:tcW w:w="2835" w:type="dxa"/>
            <w:shd w:val="clear" w:color="auto" w:fill="auto"/>
            <w:tcMar>
              <w:top w:w="15" w:type="dxa"/>
              <w:left w:w="108" w:type="dxa"/>
              <w:bottom w:w="0" w:type="dxa"/>
              <w:right w:w="108" w:type="dxa"/>
            </w:tcMar>
            <w:hideMark/>
          </w:tcPr>
          <w:p w14:paraId="45C9C1DA" w14:textId="77777777" w:rsidR="00584B44" w:rsidRPr="004C3673" w:rsidRDefault="00584B44" w:rsidP="00584B44">
            <w:pPr>
              <w:rPr>
                <w:rFonts w:ascii="Arial" w:hAnsi="Arial" w:cs="Arial"/>
              </w:rPr>
            </w:pPr>
            <w:r w:rsidRPr="004C3673">
              <w:rPr>
                <w:rFonts w:ascii="Arial" w:hAnsi="Arial" w:cs="Arial"/>
              </w:rPr>
              <w:t>All time periods</w:t>
            </w:r>
          </w:p>
        </w:tc>
      </w:tr>
    </w:tbl>
    <w:p w14:paraId="0B263D01" w14:textId="62226C12" w:rsidR="00544AB2" w:rsidRPr="004C3673" w:rsidRDefault="00244F81" w:rsidP="009C1934">
      <w:pPr>
        <w:spacing w:before="120" w:after="120"/>
        <w:rPr>
          <w:rFonts w:ascii="Arial" w:hAnsi="Arial" w:cs="Arial"/>
        </w:rPr>
      </w:pPr>
      <w:r w:rsidRPr="004C3673">
        <w:rPr>
          <w:rFonts w:ascii="Arial" w:hAnsi="Arial" w:cs="Arial"/>
        </w:rPr>
        <w:t xml:space="preserve">To note: </w:t>
      </w:r>
      <w:r w:rsidR="00544AB2" w:rsidRPr="004C3673">
        <w:rPr>
          <w:rFonts w:ascii="Arial" w:hAnsi="Arial" w:cs="Arial"/>
        </w:rPr>
        <w:t>Cross classification refers to when measures are crossed tabulated with one or more variables e.g., analysis of spend x purpose.</w:t>
      </w:r>
    </w:p>
    <w:p w14:paraId="55E9061B" w14:textId="77777777" w:rsidR="00544AB2" w:rsidRPr="004C3673" w:rsidRDefault="00544AB2" w:rsidP="009C1934">
      <w:pPr>
        <w:spacing w:before="120" w:after="120"/>
        <w:rPr>
          <w:rFonts w:ascii="Arial" w:hAnsi="Arial" w:cs="Arial"/>
        </w:rPr>
      </w:pPr>
      <w:r w:rsidRPr="004C3673">
        <w:rPr>
          <w:rFonts w:ascii="Arial" w:hAnsi="Arial" w:cs="Arial"/>
        </w:rPr>
        <w:t>Local Government Area (LGA) data:  TRA does not recommend publishing LGA data unless additional analysis is undertaken to confirm the quality of the dataset. Four-year averages can be used to reduce volatility.</w:t>
      </w:r>
    </w:p>
    <w:p w14:paraId="2368C363" w14:textId="77777777" w:rsidR="009A7271" w:rsidRPr="009A7271" w:rsidRDefault="009A7271" w:rsidP="009A7271">
      <w:pPr>
        <w:rPr>
          <w:sz w:val="8"/>
          <w:szCs w:val="8"/>
        </w:rPr>
      </w:pPr>
    </w:p>
    <w:p w14:paraId="025B1A3A" w14:textId="79934FC9" w:rsidR="00544AB2" w:rsidRPr="009862F5" w:rsidRDefault="00DA7B43" w:rsidP="00E529AB">
      <w:pPr>
        <w:pStyle w:val="Heading2"/>
        <w:rPr>
          <w:rFonts w:ascii="Arial" w:hAnsi="Arial" w:cs="Arial"/>
          <w:color w:val="002060"/>
        </w:rPr>
      </w:pPr>
      <w:bookmarkStart w:id="24" w:name="_Toc167188600"/>
      <w:r w:rsidRPr="009862F5">
        <w:rPr>
          <w:rFonts w:ascii="Arial" w:hAnsi="Arial" w:cs="Arial"/>
          <w:color w:val="002060"/>
        </w:rPr>
        <w:lastRenderedPageBreak/>
        <w:t xml:space="preserve">2.4 </w:t>
      </w:r>
      <w:r w:rsidR="00544AB2" w:rsidRPr="009862F5">
        <w:rPr>
          <w:rFonts w:ascii="Arial" w:hAnsi="Arial" w:cs="Arial"/>
          <w:color w:val="002060"/>
        </w:rPr>
        <w:t>Data limitations</w:t>
      </w:r>
      <w:r w:rsidR="0020294C" w:rsidRPr="009862F5">
        <w:rPr>
          <w:rFonts w:ascii="Arial" w:hAnsi="Arial" w:cs="Arial"/>
          <w:color w:val="002060"/>
        </w:rPr>
        <w:t xml:space="preserve"> of the NVS</w:t>
      </w:r>
      <w:bookmarkEnd w:id="24"/>
    </w:p>
    <w:p w14:paraId="69379E26" w14:textId="0ACCCE2B" w:rsidR="00544AB2" w:rsidRPr="00C47D51" w:rsidRDefault="00544AB2" w:rsidP="004641F3">
      <w:pPr>
        <w:spacing w:before="120" w:after="120"/>
        <w:rPr>
          <w:rStyle w:val="Hyperlink"/>
          <w:rFonts w:ascii="Arial" w:hAnsi="Arial" w:cs="Arial"/>
          <w:color w:val="auto"/>
          <w:u w:val="none"/>
        </w:rPr>
      </w:pPr>
      <w:r w:rsidRPr="004C3673">
        <w:rPr>
          <w:rFonts w:ascii="Arial" w:hAnsi="Arial" w:cs="Arial"/>
        </w:rPr>
        <w:t xml:space="preserve">Estimates </w:t>
      </w:r>
      <w:r w:rsidR="00EA7431" w:rsidRPr="004C3673">
        <w:rPr>
          <w:rFonts w:ascii="Arial" w:hAnsi="Arial" w:cs="Arial"/>
        </w:rPr>
        <w:t xml:space="preserve">from </w:t>
      </w:r>
      <w:r w:rsidRPr="004C3673">
        <w:rPr>
          <w:rFonts w:ascii="Arial" w:hAnsi="Arial" w:cs="Arial"/>
        </w:rPr>
        <w:t>the NVS are based on a sample rather than a census. As such, the results are subject to sampling variability. For further information on the NVS methodology visit</w:t>
      </w:r>
      <w:r w:rsidR="008F5755" w:rsidRPr="004C3673">
        <w:rPr>
          <w:rFonts w:ascii="Arial" w:hAnsi="Arial" w:cs="Arial"/>
        </w:rPr>
        <w:t xml:space="preserve"> </w:t>
      </w:r>
      <w:hyperlink r:id="rId15" w:history="1">
        <w:r w:rsidRPr="004C3673">
          <w:rPr>
            <w:rStyle w:val="Hyperlink"/>
            <w:rFonts w:ascii="Arial" w:hAnsi="Arial" w:cs="Arial"/>
          </w:rPr>
          <w:t>Tourism Research Australia.</w:t>
        </w:r>
      </w:hyperlink>
    </w:p>
    <w:p w14:paraId="41FB0867" w14:textId="77777777" w:rsidR="009A7271" w:rsidRPr="009A7271" w:rsidRDefault="009A7271" w:rsidP="009A7271">
      <w:pPr>
        <w:rPr>
          <w:sz w:val="8"/>
          <w:szCs w:val="8"/>
        </w:rPr>
      </w:pPr>
    </w:p>
    <w:p w14:paraId="4085B5FD" w14:textId="66F9610F" w:rsidR="00331481" w:rsidRPr="009862F5" w:rsidRDefault="00331481" w:rsidP="00BE1D31">
      <w:pPr>
        <w:pStyle w:val="Heading1"/>
        <w:numPr>
          <w:ilvl w:val="0"/>
          <w:numId w:val="10"/>
        </w:numPr>
        <w:spacing w:before="120" w:after="120"/>
        <w:rPr>
          <w:rFonts w:ascii="Arial" w:hAnsi="Arial" w:cs="Arial"/>
          <w:color w:val="002060"/>
        </w:rPr>
      </w:pPr>
      <w:bookmarkStart w:id="25" w:name="_Toc167188601"/>
      <w:r w:rsidRPr="009862F5">
        <w:rPr>
          <w:rFonts w:ascii="Arial" w:hAnsi="Arial" w:cs="Arial"/>
          <w:color w:val="002060"/>
        </w:rPr>
        <w:t>International Visitor Survey (IVS)</w:t>
      </w:r>
      <w:bookmarkEnd w:id="25"/>
      <w:r w:rsidRPr="009862F5">
        <w:rPr>
          <w:rFonts w:ascii="Arial" w:hAnsi="Arial" w:cs="Arial"/>
          <w:color w:val="002060"/>
        </w:rPr>
        <w:t xml:space="preserve"> </w:t>
      </w:r>
    </w:p>
    <w:p w14:paraId="0B4037D0" w14:textId="7AE3861F" w:rsidR="00331481" w:rsidRPr="009862F5" w:rsidRDefault="00DA7B43" w:rsidP="009C1934">
      <w:pPr>
        <w:pStyle w:val="Heading2"/>
        <w:spacing w:before="120" w:after="120"/>
        <w:rPr>
          <w:rFonts w:ascii="Arial" w:hAnsi="Arial" w:cs="Arial"/>
          <w:color w:val="002060"/>
        </w:rPr>
      </w:pPr>
      <w:bookmarkStart w:id="26" w:name="_Toc167188602"/>
      <w:r w:rsidRPr="009862F5">
        <w:rPr>
          <w:rFonts w:ascii="Arial" w:hAnsi="Arial" w:cs="Arial"/>
          <w:color w:val="002060"/>
        </w:rPr>
        <w:t xml:space="preserve">3.1 </w:t>
      </w:r>
      <w:r w:rsidR="00331481" w:rsidRPr="009862F5">
        <w:rPr>
          <w:rFonts w:ascii="Arial" w:hAnsi="Arial" w:cs="Arial"/>
          <w:color w:val="002060"/>
        </w:rPr>
        <w:t xml:space="preserve">IVS </w:t>
      </w:r>
      <w:r w:rsidR="00317713" w:rsidRPr="009862F5">
        <w:rPr>
          <w:rFonts w:ascii="Arial" w:hAnsi="Arial" w:cs="Arial"/>
          <w:color w:val="002060"/>
        </w:rPr>
        <w:t>s</w:t>
      </w:r>
      <w:r w:rsidR="00331481" w:rsidRPr="009862F5">
        <w:rPr>
          <w:rFonts w:ascii="Arial" w:hAnsi="Arial" w:cs="Arial"/>
          <w:color w:val="002060"/>
        </w:rPr>
        <w:t xml:space="preserve">urvey </w:t>
      </w:r>
      <w:r w:rsidR="00317713" w:rsidRPr="009862F5">
        <w:rPr>
          <w:rFonts w:ascii="Arial" w:hAnsi="Arial" w:cs="Arial"/>
          <w:color w:val="002060"/>
        </w:rPr>
        <w:t>m</w:t>
      </w:r>
      <w:r w:rsidR="00331481" w:rsidRPr="009862F5">
        <w:rPr>
          <w:rFonts w:ascii="Arial" w:hAnsi="Arial" w:cs="Arial"/>
          <w:color w:val="002060"/>
        </w:rPr>
        <w:t>ethodology</w:t>
      </w:r>
      <w:bookmarkEnd w:id="26"/>
      <w:r w:rsidR="00331481" w:rsidRPr="009862F5">
        <w:rPr>
          <w:rFonts w:ascii="Arial" w:hAnsi="Arial" w:cs="Arial"/>
          <w:color w:val="002060"/>
        </w:rPr>
        <w:t xml:space="preserve"> </w:t>
      </w:r>
    </w:p>
    <w:p w14:paraId="6B2ACC2E" w14:textId="77777777" w:rsidR="00FD3BFF" w:rsidRPr="004C3673" w:rsidRDefault="00FD3BFF" w:rsidP="00BE1D31">
      <w:pPr>
        <w:pStyle w:val="ListParagraph"/>
        <w:numPr>
          <w:ilvl w:val="0"/>
          <w:numId w:val="5"/>
        </w:numPr>
        <w:spacing w:before="120" w:after="120"/>
        <w:rPr>
          <w:rFonts w:ascii="Arial" w:hAnsi="Arial" w:cs="Arial"/>
        </w:rPr>
      </w:pPr>
      <w:r w:rsidRPr="004C3673">
        <w:rPr>
          <w:rFonts w:ascii="Arial" w:hAnsi="Arial" w:cs="Arial"/>
        </w:rPr>
        <w:t>The IVS delivers key measures on the size and value of international tourism to Australia.</w:t>
      </w:r>
    </w:p>
    <w:p w14:paraId="61502C0E" w14:textId="0C252F7B" w:rsidR="00D263AF" w:rsidRPr="00D263AF" w:rsidRDefault="00D263AF" w:rsidP="00BE1D31">
      <w:pPr>
        <w:pStyle w:val="ListParagraph"/>
        <w:numPr>
          <w:ilvl w:val="0"/>
          <w:numId w:val="5"/>
        </w:numPr>
        <w:spacing w:before="120"/>
        <w:rPr>
          <w:rFonts w:ascii="Arial" w:hAnsi="Arial" w:cs="Arial"/>
        </w:rPr>
      </w:pPr>
      <w:r w:rsidRPr="00D263AF">
        <w:rPr>
          <w:rFonts w:ascii="Arial" w:hAnsi="Arial" w:cs="Arial"/>
        </w:rPr>
        <w:t>In 2024 the IVS will be based on a sample of 30,000 departing, short-term international travellers aged 15 years and over who have been visiting Australia for less than a year. The IVS uses Computer Assisted Personal Interviewing (CAPI) in the departure lounges of the 8 major international airports in Australia including Melbourne, Sydney, Brisbane, Cairns, Perth, Adelaide, Darwin</w:t>
      </w:r>
      <w:r>
        <w:rPr>
          <w:rFonts w:ascii="Arial" w:hAnsi="Arial" w:cs="Arial"/>
        </w:rPr>
        <w:t>,</w:t>
      </w:r>
      <w:r w:rsidRPr="00D263AF">
        <w:rPr>
          <w:rFonts w:ascii="Arial" w:hAnsi="Arial" w:cs="Arial"/>
        </w:rPr>
        <w:t xml:space="preserve"> and Gold Coast.</w:t>
      </w:r>
    </w:p>
    <w:p w14:paraId="4BF566CB" w14:textId="77777777" w:rsidR="004B6A64" w:rsidRPr="004C3673" w:rsidRDefault="00FD3BFF" w:rsidP="00BE1D31">
      <w:pPr>
        <w:pStyle w:val="ListParagraph"/>
        <w:numPr>
          <w:ilvl w:val="0"/>
          <w:numId w:val="5"/>
        </w:numPr>
        <w:spacing w:before="120" w:after="120"/>
        <w:rPr>
          <w:rFonts w:ascii="Arial" w:hAnsi="Arial" w:cs="Arial"/>
        </w:rPr>
      </w:pPr>
      <w:r w:rsidRPr="004C3673">
        <w:rPr>
          <w:rFonts w:ascii="Arial" w:hAnsi="Arial" w:cs="Arial"/>
        </w:rPr>
        <w:t xml:space="preserve">Due to COVID-19 </w:t>
      </w:r>
      <w:r w:rsidR="00EA3692" w:rsidRPr="004C3673">
        <w:rPr>
          <w:rFonts w:ascii="Arial" w:hAnsi="Arial" w:cs="Arial"/>
        </w:rPr>
        <w:t xml:space="preserve">related </w:t>
      </w:r>
      <w:r w:rsidRPr="004C3673">
        <w:rPr>
          <w:rFonts w:ascii="Arial" w:hAnsi="Arial" w:cs="Arial"/>
        </w:rPr>
        <w:t xml:space="preserve">international border closures, IVS interviewing was suspended from 1 April 2020. </w:t>
      </w:r>
    </w:p>
    <w:p w14:paraId="52443E09" w14:textId="0CC6EA09" w:rsidR="00FD3BFF" w:rsidRPr="004C3673" w:rsidRDefault="00FD3BFF" w:rsidP="00BE1D31">
      <w:pPr>
        <w:pStyle w:val="ListParagraph"/>
        <w:numPr>
          <w:ilvl w:val="0"/>
          <w:numId w:val="5"/>
        </w:numPr>
        <w:spacing w:before="120" w:after="120"/>
        <w:rPr>
          <w:rFonts w:ascii="Arial" w:hAnsi="Arial" w:cs="Arial"/>
        </w:rPr>
      </w:pPr>
      <w:r w:rsidRPr="004C3673">
        <w:rPr>
          <w:rFonts w:ascii="Arial" w:hAnsi="Arial" w:cs="Arial"/>
        </w:rPr>
        <w:t>As a result</w:t>
      </w:r>
      <w:r w:rsidR="00D6194D" w:rsidRPr="004C3673">
        <w:rPr>
          <w:rFonts w:ascii="Arial" w:hAnsi="Arial" w:cs="Arial"/>
        </w:rPr>
        <w:t>,</w:t>
      </w:r>
      <w:r w:rsidR="00993DB1" w:rsidRPr="004C3673">
        <w:rPr>
          <w:rFonts w:ascii="Arial" w:hAnsi="Arial" w:cs="Arial"/>
        </w:rPr>
        <w:t xml:space="preserve"> </w:t>
      </w:r>
      <w:r w:rsidRPr="004C3673">
        <w:rPr>
          <w:rFonts w:ascii="Arial" w:hAnsi="Arial" w:cs="Arial"/>
        </w:rPr>
        <w:t>estimates for the period from March 2020 to June quarter 2022 were imputed using more comprehensive OAD data. TRA used trip characteristics from relevant past IVS records with the same profile to visitors in the OAD in the process. Spend values were sensitivity checked against domestic spend behaviours by item to ensure alignment with current spending patterns.</w:t>
      </w:r>
    </w:p>
    <w:p w14:paraId="491FF692" w14:textId="6726D023" w:rsidR="00FD3BFF" w:rsidRPr="00D263AF" w:rsidRDefault="00FD3BFF" w:rsidP="00BE1D31">
      <w:pPr>
        <w:pStyle w:val="ListParagraph"/>
        <w:numPr>
          <w:ilvl w:val="0"/>
          <w:numId w:val="5"/>
        </w:numPr>
        <w:spacing w:before="120" w:after="120"/>
        <w:rPr>
          <w:rFonts w:ascii="Arial" w:hAnsi="Arial" w:cs="Arial"/>
        </w:rPr>
      </w:pPr>
      <w:r w:rsidRPr="004C3673">
        <w:rPr>
          <w:rFonts w:ascii="Arial" w:hAnsi="Arial" w:cs="Arial"/>
        </w:rPr>
        <w:t xml:space="preserve">IVS interviews recommenced in certain airports from November 202. Estimates for September quarter 2022 to </w:t>
      </w:r>
      <w:r w:rsidR="00D263AF" w:rsidRPr="004C3673">
        <w:rPr>
          <w:rFonts w:ascii="Arial" w:hAnsi="Arial" w:cs="Arial"/>
        </w:rPr>
        <w:t xml:space="preserve">September </w:t>
      </w:r>
      <w:r w:rsidR="00FE5227">
        <w:rPr>
          <w:rFonts w:ascii="Arial" w:hAnsi="Arial" w:cs="Arial"/>
        </w:rPr>
        <w:t xml:space="preserve">quarter </w:t>
      </w:r>
      <w:r w:rsidR="00D263AF" w:rsidRPr="004C3673">
        <w:rPr>
          <w:rFonts w:ascii="Arial" w:hAnsi="Arial" w:cs="Arial"/>
        </w:rPr>
        <w:t>2023 releases</w:t>
      </w:r>
      <w:r w:rsidR="00D263AF" w:rsidRPr="004C3673">
        <w:rPr>
          <w:rFonts w:ascii="Arial" w:hAnsi="Arial" w:cs="Arial"/>
        </w:rPr>
        <w:t xml:space="preserve"> </w:t>
      </w:r>
      <w:r w:rsidRPr="004C3673">
        <w:rPr>
          <w:rFonts w:ascii="Arial" w:hAnsi="Arial" w:cs="Arial"/>
        </w:rPr>
        <w:t>have been based on a combination of interview data and imputation</w:t>
      </w:r>
      <w:r w:rsidR="003B7F27" w:rsidRPr="004C3673">
        <w:rPr>
          <w:rFonts w:ascii="Arial" w:hAnsi="Arial" w:cs="Arial"/>
        </w:rPr>
        <w:t xml:space="preserve">. </w:t>
      </w:r>
      <w:r w:rsidRPr="00D263AF">
        <w:rPr>
          <w:rFonts w:ascii="Arial" w:hAnsi="Arial" w:cs="Arial"/>
        </w:rPr>
        <w:t>During this period only limited measures have been available at the state level (</w:t>
      </w:r>
      <w:r w:rsidR="00AF50A4">
        <w:rPr>
          <w:rFonts w:ascii="Arial" w:hAnsi="Arial" w:cs="Arial"/>
        </w:rPr>
        <w:t>e.g.,</w:t>
      </w:r>
      <w:r w:rsidRPr="00D263AF">
        <w:rPr>
          <w:rFonts w:ascii="Arial" w:hAnsi="Arial" w:cs="Arial"/>
        </w:rPr>
        <w:t xml:space="preserve"> spend, visitors and nights, and visitors by market), with no regional level estimates.</w:t>
      </w:r>
    </w:p>
    <w:p w14:paraId="52B5DD34" w14:textId="77777777" w:rsidR="005B3DE8" w:rsidRPr="004C3673" w:rsidRDefault="005B3DE8" w:rsidP="00BE1D31">
      <w:pPr>
        <w:pStyle w:val="ListParagraph"/>
        <w:numPr>
          <w:ilvl w:val="0"/>
          <w:numId w:val="5"/>
        </w:numPr>
        <w:spacing w:before="120" w:after="120"/>
        <w:rPr>
          <w:rFonts w:ascii="Arial" w:hAnsi="Arial" w:cs="Arial"/>
        </w:rPr>
      </w:pPr>
      <w:r w:rsidRPr="004C3673">
        <w:rPr>
          <w:rFonts w:ascii="Arial" w:hAnsi="Arial" w:cs="Arial"/>
        </w:rPr>
        <w:t xml:space="preserve">Interviews are typically conducted in English, Japanese, Korean and Mandarin. </w:t>
      </w:r>
    </w:p>
    <w:p w14:paraId="25F3E9FC" w14:textId="333A1BFE" w:rsidR="005B3DE8" w:rsidRPr="004C3673" w:rsidRDefault="005B3DE8" w:rsidP="00BE1D31">
      <w:pPr>
        <w:pStyle w:val="ListParagraph"/>
        <w:numPr>
          <w:ilvl w:val="0"/>
          <w:numId w:val="5"/>
        </w:numPr>
        <w:spacing w:before="120" w:after="120"/>
        <w:rPr>
          <w:rFonts w:ascii="Arial" w:hAnsi="Arial" w:cs="Arial"/>
        </w:rPr>
      </w:pPr>
      <w:r w:rsidRPr="004C3673">
        <w:rPr>
          <w:rFonts w:ascii="Arial" w:hAnsi="Arial" w:cs="Arial"/>
        </w:rPr>
        <w:t xml:space="preserve">Survey results are weighted to data on international visitor numbers from the Department of Home Affairs with the assistance of the Australian Bureau of Statistics (ABS) which publishes Overseas Arrivals and Departures (OAD) data each month. The data is weighted to be representative of country of residence, state of arrival, main purpose of journey, departure airport, </w:t>
      </w:r>
      <w:proofErr w:type="gramStart"/>
      <w:r w:rsidRPr="004C3673">
        <w:rPr>
          <w:rFonts w:ascii="Arial" w:hAnsi="Arial" w:cs="Arial"/>
        </w:rPr>
        <w:t>age</w:t>
      </w:r>
      <w:proofErr w:type="gramEnd"/>
      <w:r w:rsidRPr="004C3673">
        <w:rPr>
          <w:rFonts w:ascii="Arial" w:hAnsi="Arial" w:cs="Arial"/>
        </w:rPr>
        <w:t xml:space="preserve"> and sex. </w:t>
      </w:r>
    </w:p>
    <w:p w14:paraId="19643713" w14:textId="77777777" w:rsidR="005B3DE8" w:rsidRPr="004C3673" w:rsidRDefault="005B3DE8" w:rsidP="00BE1D31">
      <w:pPr>
        <w:pStyle w:val="ListParagraph"/>
        <w:numPr>
          <w:ilvl w:val="0"/>
          <w:numId w:val="5"/>
        </w:numPr>
        <w:spacing w:before="120" w:after="120"/>
        <w:rPr>
          <w:rFonts w:ascii="Arial" w:hAnsi="Arial" w:cs="Arial"/>
        </w:rPr>
      </w:pPr>
      <w:r w:rsidRPr="004C3673">
        <w:rPr>
          <w:rFonts w:ascii="Arial" w:hAnsi="Arial" w:cs="Arial"/>
        </w:rPr>
        <w:t xml:space="preserve">The IVS is co-funded by the Commonwealth, </w:t>
      </w:r>
      <w:proofErr w:type="gramStart"/>
      <w:r w:rsidRPr="004C3673">
        <w:rPr>
          <w:rFonts w:ascii="Arial" w:hAnsi="Arial" w:cs="Arial"/>
        </w:rPr>
        <w:t>state</w:t>
      </w:r>
      <w:proofErr w:type="gramEnd"/>
      <w:r w:rsidRPr="004C3673">
        <w:rPr>
          <w:rFonts w:ascii="Arial" w:hAnsi="Arial" w:cs="Arial"/>
        </w:rPr>
        <w:t xml:space="preserve"> and territory governments. </w:t>
      </w:r>
    </w:p>
    <w:p w14:paraId="34A1952A" w14:textId="77777777" w:rsidR="005B3DE8" w:rsidRPr="004C3673" w:rsidRDefault="005B3DE8" w:rsidP="00BE1D31">
      <w:pPr>
        <w:pStyle w:val="ListParagraph"/>
        <w:numPr>
          <w:ilvl w:val="0"/>
          <w:numId w:val="5"/>
        </w:numPr>
        <w:spacing w:before="120" w:after="120"/>
        <w:rPr>
          <w:rFonts w:ascii="Arial" w:hAnsi="Arial" w:cs="Arial"/>
        </w:rPr>
      </w:pPr>
      <w:r w:rsidRPr="004C3673">
        <w:rPr>
          <w:rFonts w:ascii="Arial" w:hAnsi="Arial" w:cs="Arial"/>
        </w:rPr>
        <w:t xml:space="preserve">Results from the IVS are published quarterly. </w:t>
      </w:r>
    </w:p>
    <w:p w14:paraId="74182D48" w14:textId="0CE95584" w:rsidR="006A5372" w:rsidRPr="009862F5" w:rsidRDefault="006A5372" w:rsidP="009862F5">
      <w:pPr>
        <w:rPr>
          <w:sz w:val="16"/>
          <w:szCs w:val="16"/>
        </w:rPr>
      </w:pPr>
    </w:p>
    <w:p w14:paraId="3C8B5D62" w14:textId="000C54A7" w:rsidR="005B3DE8" w:rsidRPr="00F906AA" w:rsidRDefault="00AF11B8" w:rsidP="009C1934">
      <w:pPr>
        <w:pStyle w:val="Heading2"/>
        <w:spacing w:before="120" w:after="120"/>
        <w:rPr>
          <w:rFonts w:ascii="Arial" w:hAnsi="Arial" w:cs="Arial"/>
          <w:color w:val="002060"/>
        </w:rPr>
      </w:pPr>
      <w:bookmarkStart w:id="27" w:name="_Toc167188603"/>
      <w:r w:rsidRPr="00F906AA">
        <w:rPr>
          <w:rFonts w:ascii="Arial" w:hAnsi="Arial" w:cs="Arial"/>
          <w:color w:val="002060"/>
        </w:rPr>
        <w:t xml:space="preserve">3.2 </w:t>
      </w:r>
      <w:r w:rsidR="005B3DE8" w:rsidRPr="00F906AA">
        <w:rPr>
          <w:rFonts w:ascii="Arial" w:hAnsi="Arial" w:cs="Arial"/>
          <w:color w:val="002060"/>
        </w:rPr>
        <w:t>Key IVS metrics</w:t>
      </w:r>
      <w:bookmarkEnd w:id="27"/>
    </w:p>
    <w:p w14:paraId="6847516D" w14:textId="37DF95B7" w:rsidR="005B3DE8" w:rsidRPr="004C3673" w:rsidRDefault="005B3DE8" w:rsidP="001A2FE1">
      <w:pPr>
        <w:spacing w:before="120" w:after="120"/>
        <w:rPr>
          <w:rFonts w:ascii="Arial" w:hAnsi="Arial" w:cs="Arial"/>
        </w:rPr>
      </w:pPr>
      <w:r w:rsidRPr="004C3673">
        <w:rPr>
          <w:rFonts w:ascii="Arial" w:hAnsi="Arial" w:cs="Arial"/>
        </w:rPr>
        <w:t>The IVS typically contains around 100 questions supported by show-cards. This includes topics such as destination, purpose, travel package, information sources, transportation, activities, expenditure, accommodation, travel party, group tours and demographics (as well as other types of information).</w:t>
      </w:r>
    </w:p>
    <w:p w14:paraId="130BB10C" w14:textId="4E590507" w:rsidR="005B3DE8" w:rsidRPr="004C3673" w:rsidRDefault="005B3DE8" w:rsidP="001A2FE1">
      <w:pPr>
        <w:spacing w:before="120" w:after="120"/>
        <w:rPr>
          <w:rFonts w:ascii="Arial" w:hAnsi="Arial" w:cs="Arial"/>
        </w:rPr>
      </w:pPr>
      <w:r w:rsidRPr="004C3673">
        <w:rPr>
          <w:rFonts w:ascii="Arial" w:hAnsi="Arial" w:cs="Arial"/>
        </w:rPr>
        <w:t xml:space="preserve">IVS spend is allocated to regions through the regional expenditure model (REX) based on overnight stopovers. If a visitor takes a daytrip to a region but does not stay overnight, their expenditure is not allocated to that region. </w:t>
      </w:r>
    </w:p>
    <w:p w14:paraId="4293C2CB" w14:textId="77777777" w:rsidR="005B3DE8" w:rsidRPr="004C3673" w:rsidRDefault="005B3DE8" w:rsidP="001A2FE1">
      <w:pPr>
        <w:spacing w:before="120" w:after="120"/>
        <w:rPr>
          <w:rFonts w:ascii="Arial" w:hAnsi="Arial" w:cs="Arial"/>
        </w:rPr>
      </w:pPr>
      <w:r w:rsidRPr="004C3673">
        <w:rPr>
          <w:rFonts w:ascii="Arial" w:hAnsi="Arial" w:cs="Arial"/>
        </w:rPr>
        <w:t xml:space="preserve">The IVS captures all expenditure by the respondent relating to the trip including elements such as airfares, package expenditure, accommodation, </w:t>
      </w:r>
      <w:proofErr w:type="gramStart"/>
      <w:r w:rsidRPr="004C3673">
        <w:rPr>
          <w:rFonts w:ascii="Arial" w:hAnsi="Arial" w:cs="Arial"/>
        </w:rPr>
        <w:t>food</w:t>
      </w:r>
      <w:proofErr w:type="gramEnd"/>
      <w:r w:rsidRPr="004C3673">
        <w:rPr>
          <w:rFonts w:ascii="Arial" w:hAnsi="Arial" w:cs="Arial"/>
        </w:rPr>
        <w:t xml:space="preserve"> and beverages, etc. Some elements of this expenditure will only partially flow through to the Australian economy (e.g., airfares and package expenditure) with much of this spend attributable to the respondent’s home country. As part of the expenditure modelling process, a portion of this expenditure is allocated to Australia.</w:t>
      </w:r>
    </w:p>
    <w:p w14:paraId="6DF092EA" w14:textId="77777777" w:rsidR="009A7271" w:rsidRPr="009A7271" w:rsidRDefault="009A7271" w:rsidP="009A7271">
      <w:pPr>
        <w:rPr>
          <w:sz w:val="8"/>
          <w:szCs w:val="8"/>
        </w:rPr>
      </w:pPr>
    </w:p>
    <w:p w14:paraId="33D976EE" w14:textId="5EAB5534" w:rsidR="00E82AC5" w:rsidRPr="009862F5" w:rsidRDefault="00AF11B8" w:rsidP="009C1934">
      <w:pPr>
        <w:pStyle w:val="Heading2"/>
        <w:spacing w:before="120" w:after="120"/>
        <w:rPr>
          <w:rFonts w:ascii="Arial" w:hAnsi="Arial" w:cs="Arial"/>
          <w:color w:val="002060"/>
        </w:rPr>
      </w:pPr>
      <w:bookmarkStart w:id="28" w:name="_Toc167188604"/>
      <w:r w:rsidRPr="009862F5">
        <w:rPr>
          <w:rFonts w:ascii="Arial" w:hAnsi="Arial" w:cs="Arial"/>
          <w:color w:val="002060"/>
        </w:rPr>
        <w:lastRenderedPageBreak/>
        <w:t xml:space="preserve">3.3 </w:t>
      </w:r>
      <w:r w:rsidR="00E529AB" w:rsidRPr="009862F5">
        <w:rPr>
          <w:rFonts w:ascii="Arial" w:hAnsi="Arial" w:cs="Arial"/>
          <w:color w:val="002060"/>
        </w:rPr>
        <w:t>IVS p</w:t>
      </w:r>
      <w:r w:rsidR="00E82AC5" w:rsidRPr="009862F5">
        <w:rPr>
          <w:rFonts w:ascii="Arial" w:hAnsi="Arial" w:cs="Arial"/>
          <w:color w:val="002060"/>
        </w:rPr>
        <w:t>ublishing guidelines</w:t>
      </w:r>
      <w:bookmarkEnd w:id="28"/>
    </w:p>
    <w:p w14:paraId="5DA9F904" w14:textId="6C7F5B3C" w:rsidR="00E82AC5" w:rsidRPr="004C3673" w:rsidRDefault="00E82AC5" w:rsidP="00A90633">
      <w:pPr>
        <w:spacing w:before="120" w:after="120"/>
        <w:rPr>
          <w:rFonts w:ascii="Arial" w:hAnsi="Arial" w:cs="Arial"/>
        </w:rPr>
      </w:pPr>
      <w:r w:rsidRPr="004C3673">
        <w:rPr>
          <w:rFonts w:ascii="Arial" w:hAnsi="Arial" w:cs="Arial"/>
        </w:rPr>
        <w:t>IVS estimates are broadly published based on the following threshold rules</w:t>
      </w:r>
      <w:r w:rsidR="00A90633" w:rsidRPr="004C3673">
        <w:rPr>
          <w:rFonts w:ascii="Arial" w:hAnsi="Arial" w:cs="Arial"/>
        </w:rPr>
        <w:t>. This</w:t>
      </w:r>
      <w:r w:rsidRPr="004C3673">
        <w:rPr>
          <w:rFonts w:ascii="Arial" w:hAnsi="Arial" w:cs="Arial"/>
        </w:rPr>
        <w:t xml:space="preserve"> is a guide only </w:t>
      </w:r>
      <w:r w:rsidR="00782A6F" w:rsidRPr="004C3673">
        <w:rPr>
          <w:rFonts w:ascii="Arial" w:hAnsi="Arial" w:cs="Arial"/>
        </w:rPr>
        <w:t xml:space="preserve">and </w:t>
      </w:r>
      <w:r w:rsidRPr="004C3673">
        <w:rPr>
          <w:rFonts w:ascii="Arial" w:hAnsi="Arial" w:cs="Arial"/>
        </w:rPr>
        <w:t xml:space="preserve">other TRA publishing rules may be considered. </w:t>
      </w:r>
    </w:p>
    <w:p w14:paraId="38B45710" w14:textId="5CC30523" w:rsidR="00E82AC5" w:rsidRPr="004C3673" w:rsidRDefault="00E82AC5" w:rsidP="00A90633">
      <w:pPr>
        <w:spacing w:before="120" w:after="120"/>
        <w:rPr>
          <w:rFonts w:ascii="Arial" w:hAnsi="Arial" w:cs="Arial"/>
        </w:rPr>
      </w:pPr>
      <w:r w:rsidRPr="004C3673">
        <w:rPr>
          <w:rFonts w:ascii="Arial" w:hAnsi="Arial" w:cs="Arial"/>
        </w:rPr>
        <w:t>Where there are two rules, both must be satisfied for data to be published.</w:t>
      </w:r>
    </w:p>
    <w:p w14:paraId="155415EE" w14:textId="77777777" w:rsidR="00091A0C" w:rsidRPr="004C3673" w:rsidRDefault="00E82AC5" w:rsidP="00A90633">
      <w:pPr>
        <w:spacing w:before="120" w:after="120"/>
        <w:rPr>
          <w:rFonts w:ascii="Arial" w:hAnsi="Arial" w:cs="Arial"/>
        </w:rPr>
      </w:pPr>
      <w:r w:rsidRPr="004C3673">
        <w:rPr>
          <w:rFonts w:ascii="Arial" w:hAnsi="Arial" w:cs="Arial"/>
        </w:rPr>
        <w:t xml:space="preserve">Results may be suppressed due to sampling variability that is too high for practical purposes. </w:t>
      </w:r>
    </w:p>
    <w:p w14:paraId="797CC90A" w14:textId="71AD02DF" w:rsidR="00E82AC5" w:rsidRDefault="00E82AC5" w:rsidP="00A90633">
      <w:pPr>
        <w:spacing w:before="120" w:after="120"/>
        <w:rPr>
          <w:rFonts w:ascii="Arial" w:hAnsi="Arial" w:cs="Arial"/>
        </w:rPr>
      </w:pPr>
      <w:r w:rsidRPr="004C3673">
        <w:rPr>
          <w:rFonts w:ascii="Arial" w:hAnsi="Arial" w:cs="Arial"/>
        </w:rPr>
        <w:t>Estimates that fall below publishable thresholds are indicated in publications by np for not publishable</w:t>
      </w:r>
      <w:r w:rsidR="00782A6F" w:rsidRPr="004C3673">
        <w:rPr>
          <w:rFonts w:ascii="Arial" w:hAnsi="Arial" w:cs="Arial"/>
        </w:rPr>
        <w:t xml:space="preserve"> or are noted as blank.</w:t>
      </w:r>
    </w:p>
    <w:p w14:paraId="0ABC834A" w14:textId="77777777" w:rsidR="009A7271" w:rsidRPr="009A7271" w:rsidRDefault="009A7271" w:rsidP="00A90633">
      <w:pPr>
        <w:spacing w:before="120" w:after="120"/>
        <w:rPr>
          <w:rFonts w:ascii="Arial" w:hAnsi="Arial" w:cs="Arial"/>
          <w:sz w:val="8"/>
          <w:szCs w:val="8"/>
        </w:rPr>
      </w:pPr>
    </w:p>
    <w:p w14:paraId="416CB3E4" w14:textId="14DCC730" w:rsidR="00CB725D" w:rsidRPr="009862F5" w:rsidRDefault="00AF11B8" w:rsidP="00CB725D">
      <w:pPr>
        <w:pStyle w:val="Heading3"/>
        <w:rPr>
          <w:rFonts w:ascii="Arial" w:hAnsi="Arial" w:cs="Arial"/>
          <w:color w:val="002060"/>
        </w:rPr>
      </w:pPr>
      <w:r w:rsidRPr="009862F5">
        <w:rPr>
          <w:rFonts w:ascii="Arial" w:hAnsi="Arial" w:cs="Arial"/>
          <w:color w:val="002060"/>
        </w:rPr>
        <w:t xml:space="preserve">3.3.1 </w:t>
      </w:r>
      <w:r w:rsidR="00CB725D" w:rsidRPr="009862F5">
        <w:rPr>
          <w:rFonts w:ascii="Arial" w:hAnsi="Arial" w:cs="Arial"/>
          <w:color w:val="002060"/>
        </w:rPr>
        <w:t>Table – IVS visitor thresholds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63"/>
        <w:gridCol w:w="2737"/>
        <w:gridCol w:w="2083"/>
        <w:gridCol w:w="2835"/>
      </w:tblGrid>
      <w:tr w:rsidR="00782A6F" w:rsidRPr="004C3673" w14:paraId="464099E8" w14:textId="77777777" w:rsidTr="0053699F">
        <w:trPr>
          <w:trHeight w:val="584"/>
          <w:tblHeader/>
        </w:trPr>
        <w:tc>
          <w:tcPr>
            <w:tcW w:w="2263" w:type="dxa"/>
            <w:shd w:val="clear" w:color="auto" w:fill="D9D9D9" w:themeFill="background1" w:themeFillShade="D9"/>
            <w:tcMar>
              <w:top w:w="15" w:type="dxa"/>
              <w:left w:w="108" w:type="dxa"/>
              <w:bottom w:w="0" w:type="dxa"/>
              <w:right w:w="108" w:type="dxa"/>
            </w:tcMar>
            <w:hideMark/>
          </w:tcPr>
          <w:p w14:paraId="28DF0AD8" w14:textId="77777777" w:rsidR="00782A6F" w:rsidRPr="004C3673" w:rsidRDefault="00782A6F" w:rsidP="00782A6F">
            <w:pPr>
              <w:rPr>
                <w:rFonts w:ascii="Arial" w:hAnsi="Arial" w:cs="Arial"/>
              </w:rPr>
            </w:pPr>
            <w:bookmarkStart w:id="29" w:name="Title_4" w:colFirst="0" w:colLast="0"/>
            <w:r w:rsidRPr="004C3673">
              <w:rPr>
                <w:rFonts w:ascii="Arial" w:hAnsi="Arial" w:cs="Arial"/>
                <w:b/>
                <w:bCs/>
              </w:rPr>
              <w:t>Measure: Visitors</w:t>
            </w:r>
          </w:p>
        </w:tc>
        <w:tc>
          <w:tcPr>
            <w:tcW w:w="2737" w:type="dxa"/>
            <w:shd w:val="clear" w:color="auto" w:fill="D9D9D9" w:themeFill="background1" w:themeFillShade="D9"/>
            <w:tcMar>
              <w:top w:w="15" w:type="dxa"/>
              <w:left w:w="108" w:type="dxa"/>
              <w:bottom w:w="0" w:type="dxa"/>
              <w:right w:w="108" w:type="dxa"/>
            </w:tcMar>
            <w:hideMark/>
          </w:tcPr>
          <w:p w14:paraId="0FAFC3AF" w14:textId="77777777" w:rsidR="00782A6F" w:rsidRPr="004C3673" w:rsidRDefault="00782A6F" w:rsidP="00F25C21">
            <w:pPr>
              <w:rPr>
                <w:rFonts w:ascii="Arial" w:hAnsi="Arial" w:cs="Arial"/>
              </w:rPr>
            </w:pPr>
            <w:r w:rsidRPr="004C3673">
              <w:rPr>
                <w:rFonts w:ascii="Arial" w:hAnsi="Arial" w:cs="Arial"/>
                <w:b/>
                <w:bCs/>
              </w:rPr>
              <w:t>Rule 1</w:t>
            </w:r>
          </w:p>
        </w:tc>
        <w:tc>
          <w:tcPr>
            <w:tcW w:w="2083" w:type="dxa"/>
            <w:shd w:val="clear" w:color="auto" w:fill="D9D9D9" w:themeFill="background1" w:themeFillShade="D9"/>
            <w:tcMar>
              <w:top w:w="15" w:type="dxa"/>
              <w:left w:w="108" w:type="dxa"/>
              <w:bottom w:w="0" w:type="dxa"/>
              <w:right w:w="108" w:type="dxa"/>
            </w:tcMar>
            <w:hideMark/>
          </w:tcPr>
          <w:p w14:paraId="64F2C16D" w14:textId="77777777" w:rsidR="00782A6F" w:rsidRPr="004C3673" w:rsidRDefault="00782A6F" w:rsidP="00F25C21">
            <w:pPr>
              <w:rPr>
                <w:rFonts w:ascii="Arial" w:hAnsi="Arial" w:cs="Arial"/>
              </w:rPr>
            </w:pPr>
            <w:r w:rsidRPr="004C3673">
              <w:rPr>
                <w:rFonts w:ascii="Arial" w:hAnsi="Arial" w:cs="Arial"/>
                <w:b/>
                <w:bCs/>
              </w:rPr>
              <w:t>Rule 2</w:t>
            </w:r>
          </w:p>
        </w:tc>
        <w:tc>
          <w:tcPr>
            <w:tcW w:w="2835" w:type="dxa"/>
            <w:shd w:val="clear" w:color="auto" w:fill="D9D9D9" w:themeFill="background1" w:themeFillShade="D9"/>
            <w:tcMar>
              <w:top w:w="15" w:type="dxa"/>
              <w:left w:w="108" w:type="dxa"/>
              <w:bottom w:w="0" w:type="dxa"/>
              <w:right w:w="108" w:type="dxa"/>
            </w:tcMar>
            <w:hideMark/>
          </w:tcPr>
          <w:p w14:paraId="4FF35CEC" w14:textId="77777777" w:rsidR="00782A6F" w:rsidRPr="004C3673" w:rsidRDefault="00782A6F" w:rsidP="00F25C21">
            <w:pPr>
              <w:rPr>
                <w:rFonts w:ascii="Arial" w:hAnsi="Arial" w:cs="Arial"/>
              </w:rPr>
            </w:pPr>
            <w:r w:rsidRPr="004C3673">
              <w:rPr>
                <w:rFonts w:ascii="Arial" w:hAnsi="Arial" w:cs="Arial"/>
                <w:b/>
                <w:bCs/>
              </w:rPr>
              <w:t>Notes</w:t>
            </w:r>
          </w:p>
        </w:tc>
      </w:tr>
      <w:bookmarkEnd w:id="29"/>
      <w:tr w:rsidR="00CD2FD7" w:rsidRPr="004C3673" w14:paraId="64B5A129" w14:textId="77777777" w:rsidTr="0053699F">
        <w:trPr>
          <w:trHeight w:val="631"/>
        </w:trPr>
        <w:tc>
          <w:tcPr>
            <w:tcW w:w="2263" w:type="dxa"/>
            <w:shd w:val="clear" w:color="auto" w:fill="auto"/>
            <w:tcMar>
              <w:top w:w="15" w:type="dxa"/>
              <w:left w:w="108" w:type="dxa"/>
              <w:bottom w:w="0" w:type="dxa"/>
              <w:right w:w="108" w:type="dxa"/>
            </w:tcMar>
            <w:hideMark/>
          </w:tcPr>
          <w:p w14:paraId="375D40C2" w14:textId="6221F98A" w:rsidR="00CD2FD7" w:rsidRPr="00021641" w:rsidRDefault="00CD2FD7" w:rsidP="00CD2FD7">
            <w:pPr>
              <w:rPr>
                <w:rFonts w:ascii="Arial" w:hAnsi="Arial" w:cs="Arial"/>
              </w:rPr>
            </w:pPr>
            <w:r w:rsidRPr="00021641">
              <w:rPr>
                <w:rFonts w:ascii="Arial" w:hAnsi="Arial" w:cs="Arial"/>
                <w:color w:val="000000"/>
                <w:kern w:val="24"/>
              </w:rPr>
              <w:t>International overnight</w:t>
            </w:r>
          </w:p>
        </w:tc>
        <w:tc>
          <w:tcPr>
            <w:tcW w:w="2737" w:type="dxa"/>
            <w:shd w:val="clear" w:color="auto" w:fill="auto"/>
            <w:tcMar>
              <w:top w:w="15" w:type="dxa"/>
              <w:left w:w="108" w:type="dxa"/>
              <w:bottom w:w="0" w:type="dxa"/>
              <w:right w:w="108" w:type="dxa"/>
            </w:tcMar>
            <w:hideMark/>
          </w:tcPr>
          <w:p w14:paraId="0F8A2666" w14:textId="5C24A903" w:rsidR="00CD2FD7" w:rsidRPr="00021641" w:rsidRDefault="00CD2FD7" w:rsidP="00CD2FD7">
            <w:pPr>
              <w:rPr>
                <w:rFonts w:ascii="Arial" w:hAnsi="Arial" w:cs="Arial"/>
              </w:rPr>
            </w:pPr>
            <w:r w:rsidRPr="00021641">
              <w:rPr>
                <w:rFonts w:ascii="Arial" w:hAnsi="Arial" w:cs="Arial"/>
                <w:color w:val="000000"/>
                <w:kern w:val="24"/>
              </w:rPr>
              <w:t>Sample 30+ (&gt; 29)</w:t>
            </w:r>
          </w:p>
        </w:tc>
        <w:tc>
          <w:tcPr>
            <w:tcW w:w="2083" w:type="dxa"/>
            <w:shd w:val="clear" w:color="auto" w:fill="auto"/>
            <w:tcMar>
              <w:top w:w="15" w:type="dxa"/>
              <w:left w:w="108" w:type="dxa"/>
              <w:bottom w:w="0" w:type="dxa"/>
              <w:right w:w="108" w:type="dxa"/>
            </w:tcMar>
            <w:hideMark/>
          </w:tcPr>
          <w:p w14:paraId="41EFDB51" w14:textId="69C39EA8" w:rsidR="00CD2FD7" w:rsidRPr="00021641" w:rsidRDefault="00CD2FD7" w:rsidP="00CD2FD7">
            <w:pPr>
              <w:rPr>
                <w:rFonts w:ascii="Arial" w:hAnsi="Arial" w:cs="Arial"/>
              </w:rPr>
            </w:pPr>
            <w:r w:rsidRPr="00021641">
              <w:rPr>
                <w:rFonts w:ascii="Arial" w:hAnsi="Arial" w:cs="Arial"/>
                <w:color w:val="000000"/>
                <w:kern w:val="24"/>
              </w:rPr>
              <w:t>5,000+ visitors</w:t>
            </w:r>
          </w:p>
        </w:tc>
        <w:tc>
          <w:tcPr>
            <w:tcW w:w="2835" w:type="dxa"/>
            <w:shd w:val="clear" w:color="auto" w:fill="auto"/>
            <w:tcMar>
              <w:top w:w="15" w:type="dxa"/>
              <w:left w:w="108" w:type="dxa"/>
              <w:bottom w:w="0" w:type="dxa"/>
              <w:right w:w="108" w:type="dxa"/>
            </w:tcMar>
            <w:hideMark/>
          </w:tcPr>
          <w:p w14:paraId="29BD781C" w14:textId="6E5C98B5" w:rsidR="00CD2FD7" w:rsidRPr="00021641" w:rsidRDefault="00CD2FD7" w:rsidP="00CD2FD7">
            <w:pPr>
              <w:rPr>
                <w:rFonts w:ascii="Arial" w:hAnsi="Arial" w:cs="Arial"/>
              </w:rPr>
            </w:pPr>
            <w:r w:rsidRPr="00021641">
              <w:rPr>
                <w:rFonts w:ascii="Arial" w:hAnsi="Arial" w:cs="Arial"/>
                <w:color w:val="000000"/>
                <w:kern w:val="24"/>
              </w:rPr>
              <w:t xml:space="preserve">All time periods </w:t>
            </w:r>
            <w:r w:rsidR="007621A7" w:rsidRPr="00021641">
              <w:rPr>
                <w:rFonts w:ascii="Arial" w:hAnsi="Arial" w:cs="Arial"/>
                <w:color w:val="000000"/>
                <w:kern w:val="24"/>
              </w:rPr>
              <w:t xml:space="preserve">excluding </w:t>
            </w:r>
            <w:r w:rsidR="00A9314F" w:rsidRPr="00021641">
              <w:rPr>
                <w:rFonts w:ascii="Arial" w:hAnsi="Arial" w:cs="Arial"/>
                <w:color w:val="000000"/>
                <w:kern w:val="24"/>
              </w:rPr>
              <w:t>year ending June</w:t>
            </w:r>
            <w:r w:rsidRPr="00021641">
              <w:rPr>
                <w:rFonts w:ascii="Arial" w:hAnsi="Arial" w:cs="Arial"/>
                <w:color w:val="000000"/>
                <w:kern w:val="24"/>
              </w:rPr>
              <w:t xml:space="preserve"> 2020</w:t>
            </w:r>
            <w:r w:rsidR="007621A7" w:rsidRPr="00021641">
              <w:rPr>
                <w:rFonts w:ascii="Arial" w:hAnsi="Arial" w:cs="Arial"/>
                <w:color w:val="000000"/>
                <w:kern w:val="24"/>
              </w:rPr>
              <w:t xml:space="preserve"> to </w:t>
            </w:r>
            <w:r w:rsidR="00A9314F" w:rsidRPr="00021641">
              <w:rPr>
                <w:rFonts w:ascii="Arial" w:hAnsi="Arial" w:cs="Arial"/>
                <w:color w:val="000000"/>
                <w:kern w:val="24"/>
              </w:rPr>
              <w:t xml:space="preserve">year ending </w:t>
            </w:r>
            <w:r w:rsidR="007621A7" w:rsidRPr="00021641">
              <w:rPr>
                <w:rFonts w:ascii="Arial" w:hAnsi="Arial" w:cs="Arial"/>
                <w:color w:val="000000"/>
                <w:kern w:val="24"/>
              </w:rPr>
              <w:t>September 2023</w:t>
            </w:r>
            <w:r w:rsidR="00A33346" w:rsidRPr="00021641">
              <w:rPr>
                <w:rFonts w:ascii="Arial" w:hAnsi="Arial" w:cs="Arial"/>
                <w:color w:val="000000"/>
                <w:kern w:val="24"/>
              </w:rPr>
              <w:t xml:space="preserve"> inclusive</w:t>
            </w:r>
            <w:r w:rsidR="00546B61" w:rsidRPr="00021641">
              <w:rPr>
                <w:rFonts w:ascii="Arial" w:hAnsi="Arial" w:cs="Arial"/>
                <w:color w:val="000000"/>
                <w:kern w:val="24"/>
              </w:rPr>
              <w:t>.</w:t>
            </w:r>
          </w:p>
        </w:tc>
      </w:tr>
      <w:tr w:rsidR="00CD2FD7" w:rsidRPr="004C3673" w14:paraId="7BD31155" w14:textId="77777777" w:rsidTr="0053699F">
        <w:trPr>
          <w:trHeight w:val="584"/>
        </w:trPr>
        <w:tc>
          <w:tcPr>
            <w:tcW w:w="2263" w:type="dxa"/>
            <w:shd w:val="clear" w:color="auto" w:fill="auto"/>
            <w:tcMar>
              <w:top w:w="15" w:type="dxa"/>
              <w:left w:w="108" w:type="dxa"/>
              <w:bottom w:w="0" w:type="dxa"/>
              <w:right w:w="108" w:type="dxa"/>
            </w:tcMar>
            <w:hideMark/>
          </w:tcPr>
          <w:p w14:paraId="26F49DAE" w14:textId="632EA1C3" w:rsidR="00CD2FD7" w:rsidRPr="00021641" w:rsidRDefault="00CD2FD7" w:rsidP="00CD2FD7">
            <w:pPr>
              <w:rPr>
                <w:rFonts w:ascii="Arial" w:hAnsi="Arial" w:cs="Arial"/>
              </w:rPr>
            </w:pPr>
            <w:r w:rsidRPr="00021641">
              <w:rPr>
                <w:rFonts w:ascii="Arial" w:hAnsi="Arial" w:cs="Arial"/>
                <w:color w:val="000000"/>
                <w:kern w:val="24"/>
              </w:rPr>
              <w:t>International overnight</w:t>
            </w:r>
          </w:p>
        </w:tc>
        <w:tc>
          <w:tcPr>
            <w:tcW w:w="2737" w:type="dxa"/>
            <w:shd w:val="clear" w:color="auto" w:fill="auto"/>
            <w:tcMar>
              <w:top w:w="15" w:type="dxa"/>
              <w:left w:w="108" w:type="dxa"/>
              <w:bottom w:w="0" w:type="dxa"/>
              <w:right w:w="108" w:type="dxa"/>
            </w:tcMar>
            <w:hideMark/>
          </w:tcPr>
          <w:p w14:paraId="1151D263" w14:textId="4A1D4C1D" w:rsidR="00CD2FD7" w:rsidRPr="00021641" w:rsidRDefault="00CD2FD7" w:rsidP="00CD2FD7">
            <w:pPr>
              <w:rPr>
                <w:rFonts w:ascii="Arial" w:hAnsi="Arial" w:cs="Arial"/>
              </w:rPr>
            </w:pPr>
            <w:r w:rsidRPr="00021641">
              <w:rPr>
                <w:rFonts w:ascii="Arial" w:hAnsi="Arial" w:cs="Arial"/>
                <w:color w:val="000000"/>
                <w:kern w:val="24"/>
              </w:rPr>
              <w:t>No thresholds at the state level</w:t>
            </w:r>
            <w:r w:rsidR="00E1043F" w:rsidRPr="00021641">
              <w:rPr>
                <w:rFonts w:ascii="Arial" w:hAnsi="Arial" w:cs="Arial"/>
                <w:color w:val="000000"/>
                <w:kern w:val="24"/>
              </w:rPr>
              <w:t xml:space="preserve"> </w:t>
            </w:r>
            <w:r w:rsidR="00C57EFD" w:rsidRPr="00021641">
              <w:rPr>
                <w:rFonts w:ascii="Arial" w:hAnsi="Arial" w:cs="Arial"/>
                <w:color w:val="000000"/>
                <w:kern w:val="24"/>
              </w:rPr>
              <w:t>(year ending June 2020 to year ending September 2023 include imputed data so thresholds are not applicable).</w:t>
            </w:r>
          </w:p>
        </w:tc>
        <w:tc>
          <w:tcPr>
            <w:tcW w:w="2083" w:type="dxa"/>
            <w:shd w:val="clear" w:color="auto" w:fill="auto"/>
            <w:tcMar>
              <w:top w:w="15" w:type="dxa"/>
              <w:left w:w="108" w:type="dxa"/>
              <w:bottom w:w="0" w:type="dxa"/>
              <w:right w:w="108" w:type="dxa"/>
            </w:tcMar>
            <w:hideMark/>
          </w:tcPr>
          <w:p w14:paraId="0B00DFF5" w14:textId="20ED7588" w:rsidR="00CD2FD7" w:rsidRPr="00021641" w:rsidRDefault="00096E1F" w:rsidP="00CD2FD7">
            <w:pPr>
              <w:rPr>
                <w:rFonts w:ascii="Arial" w:hAnsi="Arial" w:cs="Arial"/>
              </w:rPr>
            </w:pPr>
            <w:r w:rsidRPr="00021641">
              <w:rPr>
                <w:rFonts w:ascii="Arial" w:hAnsi="Arial" w:cs="Arial"/>
                <w:color w:val="000000"/>
                <w:kern w:val="24"/>
              </w:rPr>
              <w:t xml:space="preserve">Non-publish (np) </w:t>
            </w:r>
            <w:r w:rsidR="00CD2FD7" w:rsidRPr="00021641">
              <w:rPr>
                <w:rFonts w:ascii="Arial" w:hAnsi="Arial" w:cs="Arial"/>
                <w:color w:val="000000"/>
                <w:kern w:val="24"/>
              </w:rPr>
              <w:t>below state level</w:t>
            </w:r>
            <w:r w:rsidR="00546B61" w:rsidRPr="00021641">
              <w:rPr>
                <w:rFonts w:ascii="Arial" w:hAnsi="Arial" w:cs="Arial"/>
                <w:color w:val="000000"/>
                <w:kern w:val="24"/>
              </w:rPr>
              <w:t>.</w:t>
            </w:r>
          </w:p>
        </w:tc>
        <w:tc>
          <w:tcPr>
            <w:tcW w:w="2835" w:type="dxa"/>
            <w:shd w:val="clear" w:color="auto" w:fill="auto"/>
            <w:tcMar>
              <w:top w:w="15" w:type="dxa"/>
              <w:left w:w="108" w:type="dxa"/>
              <w:bottom w:w="0" w:type="dxa"/>
              <w:right w:w="108" w:type="dxa"/>
            </w:tcMar>
            <w:hideMark/>
          </w:tcPr>
          <w:p w14:paraId="3B9C7220" w14:textId="6039C564" w:rsidR="00CD2FD7" w:rsidRPr="00021641" w:rsidRDefault="00CD2FD7" w:rsidP="00CD2FD7">
            <w:pPr>
              <w:rPr>
                <w:rFonts w:ascii="Arial" w:hAnsi="Arial" w:cs="Arial"/>
              </w:rPr>
            </w:pPr>
            <w:r w:rsidRPr="00021641">
              <w:rPr>
                <w:rFonts w:ascii="Arial" w:hAnsi="Arial" w:cs="Arial"/>
                <w:color w:val="000000"/>
                <w:kern w:val="24"/>
              </w:rPr>
              <w:t>Y</w:t>
            </w:r>
            <w:r w:rsidR="00A9314F" w:rsidRPr="00021641">
              <w:rPr>
                <w:rFonts w:ascii="Arial" w:hAnsi="Arial" w:cs="Arial"/>
                <w:color w:val="000000"/>
                <w:kern w:val="24"/>
              </w:rPr>
              <w:t>ear ending</w:t>
            </w:r>
            <w:r w:rsidRPr="00021641">
              <w:rPr>
                <w:rFonts w:ascii="Arial" w:hAnsi="Arial" w:cs="Arial"/>
                <w:color w:val="000000"/>
                <w:kern w:val="24"/>
              </w:rPr>
              <w:t xml:space="preserve"> </w:t>
            </w:r>
            <w:r w:rsidR="0078613B" w:rsidRPr="00021641">
              <w:rPr>
                <w:rFonts w:ascii="Arial" w:hAnsi="Arial" w:cs="Arial"/>
                <w:color w:val="000000"/>
                <w:kern w:val="24"/>
              </w:rPr>
              <w:t>June</w:t>
            </w:r>
            <w:r w:rsidRPr="00021641">
              <w:rPr>
                <w:rFonts w:ascii="Arial" w:hAnsi="Arial" w:cs="Arial"/>
                <w:color w:val="000000"/>
                <w:kern w:val="24"/>
              </w:rPr>
              <w:t xml:space="preserve"> 202</w:t>
            </w:r>
            <w:r w:rsidR="0078613B" w:rsidRPr="00021641">
              <w:rPr>
                <w:rFonts w:ascii="Arial" w:hAnsi="Arial" w:cs="Arial"/>
                <w:color w:val="000000"/>
                <w:kern w:val="24"/>
              </w:rPr>
              <w:t>0</w:t>
            </w:r>
            <w:r w:rsidRPr="00021641">
              <w:rPr>
                <w:rFonts w:ascii="Arial" w:hAnsi="Arial" w:cs="Arial"/>
                <w:color w:val="000000"/>
                <w:kern w:val="24"/>
              </w:rPr>
              <w:t xml:space="preserve"> – Y</w:t>
            </w:r>
            <w:r w:rsidR="00A9314F" w:rsidRPr="00021641">
              <w:rPr>
                <w:rFonts w:ascii="Arial" w:hAnsi="Arial" w:cs="Arial"/>
                <w:color w:val="000000"/>
                <w:kern w:val="24"/>
              </w:rPr>
              <w:t>ear ending</w:t>
            </w:r>
            <w:r w:rsidRPr="00021641">
              <w:rPr>
                <w:rFonts w:ascii="Arial" w:hAnsi="Arial" w:cs="Arial"/>
                <w:color w:val="000000"/>
                <w:kern w:val="24"/>
              </w:rPr>
              <w:t xml:space="preserve"> </w:t>
            </w:r>
            <w:r w:rsidR="00A33C3B" w:rsidRPr="00021641">
              <w:rPr>
                <w:rFonts w:ascii="Arial" w:hAnsi="Arial" w:cs="Arial"/>
                <w:color w:val="000000"/>
                <w:kern w:val="24"/>
              </w:rPr>
              <w:t xml:space="preserve">September 2023 </w:t>
            </w:r>
            <w:r w:rsidRPr="00021641">
              <w:rPr>
                <w:rFonts w:ascii="Arial" w:hAnsi="Arial" w:cs="Arial"/>
                <w:color w:val="000000"/>
                <w:kern w:val="24"/>
              </w:rPr>
              <w:t>inclusive</w:t>
            </w:r>
            <w:r w:rsidR="00546B61" w:rsidRPr="00021641">
              <w:rPr>
                <w:rFonts w:ascii="Arial" w:hAnsi="Arial" w:cs="Arial"/>
                <w:color w:val="000000"/>
                <w:kern w:val="24"/>
              </w:rPr>
              <w:t>.</w:t>
            </w:r>
          </w:p>
        </w:tc>
      </w:tr>
      <w:tr w:rsidR="00DF6641" w:rsidRPr="004C3673" w14:paraId="774FA7BB" w14:textId="77777777" w:rsidTr="0053699F">
        <w:trPr>
          <w:trHeight w:val="584"/>
        </w:trPr>
        <w:tc>
          <w:tcPr>
            <w:tcW w:w="2263" w:type="dxa"/>
            <w:shd w:val="clear" w:color="auto" w:fill="auto"/>
            <w:tcMar>
              <w:top w:w="15" w:type="dxa"/>
              <w:left w:w="108" w:type="dxa"/>
              <w:bottom w:w="0" w:type="dxa"/>
              <w:right w:w="108" w:type="dxa"/>
            </w:tcMar>
          </w:tcPr>
          <w:p w14:paraId="747FDAFC" w14:textId="7B979912" w:rsidR="00DF6641" w:rsidRPr="00021641" w:rsidRDefault="001E0D55" w:rsidP="00CD2FD7">
            <w:pPr>
              <w:rPr>
                <w:rFonts w:ascii="Arial" w:hAnsi="Arial" w:cs="Arial"/>
                <w:color w:val="000000"/>
                <w:kern w:val="24"/>
              </w:rPr>
            </w:pPr>
            <w:r w:rsidRPr="00021641">
              <w:rPr>
                <w:rFonts w:ascii="Arial" w:hAnsi="Arial" w:cs="Arial"/>
                <w:color w:val="000000"/>
                <w:kern w:val="24"/>
              </w:rPr>
              <w:t>International overnight cross-classifications</w:t>
            </w:r>
          </w:p>
        </w:tc>
        <w:tc>
          <w:tcPr>
            <w:tcW w:w="2737" w:type="dxa"/>
            <w:shd w:val="clear" w:color="auto" w:fill="auto"/>
            <w:tcMar>
              <w:top w:w="15" w:type="dxa"/>
              <w:left w:w="108" w:type="dxa"/>
              <w:bottom w:w="0" w:type="dxa"/>
              <w:right w:w="108" w:type="dxa"/>
            </w:tcMar>
          </w:tcPr>
          <w:p w14:paraId="6800FDB1" w14:textId="45D12734" w:rsidR="00DF6641" w:rsidRPr="00021641" w:rsidRDefault="009C3558" w:rsidP="00CD2FD7">
            <w:pPr>
              <w:rPr>
                <w:rFonts w:ascii="Arial" w:hAnsi="Arial" w:cs="Arial"/>
                <w:color w:val="000000"/>
                <w:kern w:val="24"/>
              </w:rPr>
            </w:pPr>
            <w:r w:rsidRPr="00021641">
              <w:rPr>
                <w:rFonts w:ascii="Arial" w:hAnsi="Arial" w:cs="Arial"/>
                <w:color w:val="000000"/>
                <w:kern w:val="24"/>
              </w:rPr>
              <w:t>Sample 40+ (&gt;39)</w:t>
            </w:r>
          </w:p>
        </w:tc>
        <w:tc>
          <w:tcPr>
            <w:tcW w:w="2083" w:type="dxa"/>
            <w:shd w:val="clear" w:color="auto" w:fill="auto"/>
            <w:tcMar>
              <w:top w:w="15" w:type="dxa"/>
              <w:left w:w="108" w:type="dxa"/>
              <w:bottom w:w="0" w:type="dxa"/>
              <w:right w:w="108" w:type="dxa"/>
            </w:tcMar>
          </w:tcPr>
          <w:p w14:paraId="09114ACB" w14:textId="16EA9D38" w:rsidR="00DF6641" w:rsidRPr="00021641" w:rsidRDefault="00F957D5" w:rsidP="00CD2FD7">
            <w:pPr>
              <w:rPr>
                <w:rFonts w:ascii="Arial" w:hAnsi="Arial" w:cs="Arial"/>
                <w:color w:val="000000"/>
                <w:kern w:val="24"/>
              </w:rPr>
            </w:pPr>
            <w:r w:rsidRPr="00021641">
              <w:rPr>
                <w:rFonts w:ascii="Arial" w:hAnsi="Arial" w:cs="Arial"/>
                <w:color w:val="000000"/>
                <w:kern w:val="24"/>
              </w:rPr>
              <w:t>Non-publish (np) below state level</w:t>
            </w:r>
            <w:r w:rsidR="00E70634" w:rsidRPr="00021641">
              <w:rPr>
                <w:rFonts w:ascii="Arial" w:hAnsi="Arial" w:cs="Arial"/>
                <w:color w:val="000000"/>
                <w:kern w:val="24"/>
              </w:rPr>
              <w:t xml:space="preserve"> for </w:t>
            </w:r>
            <w:r w:rsidR="008B478E">
              <w:rPr>
                <w:rFonts w:ascii="Arial" w:hAnsi="Arial" w:cs="Arial"/>
                <w:color w:val="000000"/>
                <w:kern w:val="24"/>
              </w:rPr>
              <w:t>year ending</w:t>
            </w:r>
            <w:r w:rsidR="00E70634" w:rsidRPr="00021641">
              <w:rPr>
                <w:rFonts w:ascii="Arial" w:hAnsi="Arial" w:cs="Arial"/>
                <w:color w:val="000000"/>
                <w:kern w:val="24"/>
              </w:rPr>
              <w:t xml:space="preserve"> June 2020 – </w:t>
            </w:r>
            <w:r w:rsidR="008B478E">
              <w:rPr>
                <w:rFonts w:ascii="Arial" w:hAnsi="Arial" w:cs="Arial"/>
                <w:color w:val="000000"/>
                <w:kern w:val="24"/>
              </w:rPr>
              <w:t>year ending</w:t>
            </w:r>
            <w:r w:rsidR="00E70634" w:rsidRPr="00021641">
              <w:rPr>
                <w:rFonts w:ascii="Arial" w:hAnsi="Arial" w:cs="Arial"/>
                <w:color w:val="000000"/>
                <w:kern w:val="24"/>
              </w:rPr>
              <w:t xml:space="preserve"> September 2023</w:t>
            </w:r>
            <w:r w:rsidR="007332DF" w:rsidRPr="00021641">
              <w:rPr>
                <w:rFonts w:ascii="Arial" w:hAnsi="Arial" w:cs="Arial"/>
                <w:color w:val="000000"/>
                <w:kern w:val="24"/>
              </w:rPr>
              <w:t xml:space="preserve"> except for </w:t>
            </w:r>
            <w:r w:rsidR="008B478E">
              <w:rPr>
                <w:rFonts w:ascii="Arial" w:hAnsi="Arial" w:cs="Arial"/>
                <w:color w:val="000000"/>
                <w:kern w:val="24"/>
              </w:rPr>
              <w:t>s</w:t>
            </w:r>
            <w:r w:rsidR="007332DF" w:rsidRPr="00021641">
              <w:rPr>
                <w:rFonts w:ascii="Arial" w:hAnsi="Arial" w:cs="Arial"/>
                <w:color w:val="000000"/>
                <w:kern w:val="24"/>
              </w:rPr>
              <w:t xml:space="preserve">tate by </w:t>
            </w:r>
            <w:r w:rsidR="008B478E">
              <w:rPr>
                <w:rFonts w:ascii="Arial" w:hAnsi="Arial" w:cs="Arial"/>
                <w:color w:val="000000"/>
                <w:kern w:val="24"/>
              </w:rPr>
              <w:t>m</w:t>
            </w:r>
            <w:r w:rsidR="007332DF" w:rsidRPr="00021641">
              <w:rPr>
                <w:rFonts w:ascii="Arial" w:hAnsi="Arial" w:cs="Arial"/>
                <w:color w:val="000000"/>
                <w:kern w:val="24"/>
              </w:rPr>
              <w:t>arket</w:t>
            </w:r>
            <w:r w:rsidRPr="00021641">
              <w:rPr>
                <w:rFonts w:ascii="Arial" w:hAnsi="Arial" w:cs="Arial"/>
                <w:color w:val="000000"/>
                <w:kern w:val="24"/>
              </w:rPr>
              <w:t>.</w:t>
            </w:r>
            <w:r w:rsidR="007332DF" w:rsidRPr="00021641">
              <w:rPr>
                <w:rFonts w:ascii="Arial" w:hAnsi="Arial" w:cs="Arial"/>
                <w:color w:val="000000"/>
                <w:kern w:val="24"/>
              </w:rPr>
              <w:t xml:space="preserve"> </w:t>
            </w:r>
          </w:p>
        </w:tc>
        <w:tc>
          <w:tcPr>
            <w:tcW w:w="2835" w:type="dxa"/>
            <w:shd w:val="clear" w:color="auto" w:fill="auto"/>
            <w:tcMar>
              <w:top w:w="15" w:type="dxa"/>
              <w:left w:w="108" w:type="dxa"/>
              <w:bottom w:w="0" w:type="dxa"/>
              <w:right w:w="108" w:type="dxa"/>
            </w:tcMar>
          </w:tcPr>
          <w:p w14:paraId="63170BF5" w14:textId="77777777" w:rsidR="009451AA" w:rsidRPr="00021641" w:rsidRDefault="009451AA" w:rsidP="009451AA">
            <w:pPr>
              <w:rPr>
                <w:rFonts w:ascii="Arial" w:hAnsi="Arial" w:cs="Arial"/>
                <w:color w:val="000000"/>
                <w:kern w:val="24"/>
              </w:rPr>
            </w:pPr>
            <w:r w:rsidRPr="00021641">
              <w:rPr>
                <w:rFonts w:ascii="Arial" w:hAnsi="Arial" w:cs="Arial"/>
                <w:color w:val="000000"/>
                <w:kern w:val="24"/>
              </w:rPr>
              <w:t>All time periods.</w:t>
            </w:r>
          </w:p>
          <w:p w14:paraId="776EF8E7" w14:textId="0B1C0656" w:rsidR="00DF6641" w:rsidRPr="00021641" w:rsidRDefault="009451AA" w:rsidP="009451AA">
            <w:pPr>
              <w:rPr>
                <w:rFonts w:ascii="Arial" w:hAnsi="Arial" w:cs="Arial"/>
                <w:color w:val="000000"/>
                <w:kern w:val="24"/>
              </w:rPr>
            </w:pPr>
            <w:r w:rsidRPr="00021641">
              <w:rPr>
                <w:rFonts w:ascii="Arial" w:hAnsi="Arial" w:cs="Arial"/>
                <w:color w:val="000000"/>
                <w:kern w:val="24"/>
              </w:rPr>
              <w:t xml:space="preserve">Note the only cross-classification that is publishable between </w:t>
            </w:r>
            <w:r w:rsidR="00021641" w:rsidRPr="00021641">
              <w:rPr>
                <w:rFonts w:ascii="Arial" w:hAnsi="Arial" w:cs="Arial"/>
                <w:color w:val="000000"/>
                <w:kern w:val="24"/>
              </w:rPr>
              <w:t>year ending</w:t>
            </w:r>
            <w:r w:rsidRPr="00021641">
              <w:rPr>
                <w:rFonts w:ascii="Arial" w:hAnsi="Arial" w:cs="Arial"/>
                <w:color w:val="000000"/>
                <w:kern w:val="24"/>
              </w:rPr>
              <w:t xml:space="preserve"> June 2020 – </w:t>
            </w:r>
            <w:r w:rsidR="00021641" w:rsidRPr="00021641">
              <w:rPr>
                <w:rFonts w:ascii="Arial" w:hAnsi="Arial" w:cs="Arial"/>
                <w:color w:val="000000"/>
                <w:kern w:val="24"/>
              </w:rPr>
              <w:t xml:space="preserve">year ending </w:t>
            </w:r>
            <w:r w:rsidRPr="00021641">
              <w:rPr>
                <w:rFonts w:ascii="Arial" w:hAnsi="Arial" w:cs="Arial"/>
                <w:color w:val="000000"/>
                <w:kern w:val="24"/>
              </w:rPr>
              <w:t xml:space="preserve">September 2023 inclusive is </w:t>
            </w:r>
            <w:r w:rsidR="00021641" w:rsidRPr="00021641">
              <w:rPr>
                <w:rFonts w:ascii="Arial" w:hAnsi="Arial" w:cs="Arial"/>
                <w:color w:val="000000"/>
                <w:kern w:val="24"/>
              </w:rPr>
              <w:t>s</w:t>
            </w:r>
            <w:r w:rsidRPr="00021641">
              <w:rPr>
                <w:rFonts w:ascii="Arial" w:hAnsi="Arial" w:cs="Arial"/>
                <w:color w:val="000000"/>
                <w:kern w:val="24"/>
              </w:rPr>
              <w:t xml:space="preserve">tate by </w:t>
            </w:r>
            <w:r w:rsidR="00021641" w:rsidRPr="00021641">
              <w:rPr>
                <w:rFonts w:ascii="Arial" w:hAnsi="Arial" w:cs="Arial"/>
                <w:color w:val="000000"/>
                <w:kern w:val="24"/>
              </w:rPr>
              <w:t>m</w:t>
            </w:r>
            <w:r w:rsidRPr="00021641">
              <w:rPr>
                <w:rFonts w:ascii="Arial" w:hAnsi="Arial" w:cs="Arial"/>
                <w:color w:val="000000"/>
                <w:kern w:val="24"/>
              </w:rPr>
              <w:t>arket.</w:t>
            </w:r>
          </w:p>
        </w:tc>
      </w:tr>
    </w:tbl>
    <w:p w14:paraId="002B172A" w14:textId="77777777" w:rsidR="00D004F6" w:rsidRPr="00D004F6" w:rsidRDefault="00D004F6" w:rsidP="00D004F6">
      <w:pPr>
        <w:rPr>
          <w:sz w:val="8"/>
          <w:szCs w:val="8"/>
        </w:rPr>
      </w:pPr>
    </w:p>
    <w:p w14:paraId="15213767" w14:textId="7C08FEFC" w:rsidR="00CB725D" w:rsidRPr="009862F5" w:rsidRDefault="00AF11B8" w:rsidP="00C47D51">
      <w:pPr>
        <w:pStyle w:val="Heading3"/>
        <w:rPr>
          <w:rFonts w:ascii="Arial" w:hAnsi="Arial" w:cs="Arial"/>
          <w:color w:val="002060"/>
        </w:rPr>
      </w:pPr>
      <w:r w:rsidRPr="009862F5">
        <w:rPr>
          <w:rFonts w:ascii="Arial" w:hAnsi="Arial" w:cs="Arial"/>
          <w:color w:val="002060"/>
        </w:rPr>
        <w:t>3.</w:t>
      </w:r>
      <w:r w:rsidR="00AB2377" w:rsidRPr="009862F5">
        <w:rPr>
          <w:rFonts w:ascii="Arial" w:hAnsi="Arial" w:cs="Arial"/>
          <w:color w:val="002060"/>
        </w:rPr>
        <w:t xml:space="preserve">3.2 </w:t>
      </w:r>
      <w:r w:rsidR="00CB725D" w:rsidRPr="009862F5">
        <w:rPr>
          <w:rFonts w:ascii="Arial" w:hAnsi="Arial" w:cs="Arial"/>
          <w:color w:val="002060"/>
        </w:rPr>
        <w:t>Table</w:t>
      </w:r>
      <w:r w:rsidR="00AB2377" w:rsidRPr="009862F5">
        <w:rPr>
          <w:rFonts w:ascii="Arial" w:hAnsi="Arial" w:cs="Arial"/>
          <w:color w:val="002060"/>
        </w:rPr>
        <w:t xml:space="preserve"> </w:t>
      </w:r>
      <w:r w:rsidR="00CB725D" w:rsidRPr="009862F5">
        <w:rPr>
          <w:rFonts w:ascii="Arial" w:hAnsi="Arial" w:cs="Arial"/>
          <w:color w:val="002060"/>
        </w:rPr>
        <w:t xml:space="preserve">– IVS </w:t>
      </w:r>
      <w:r w:rsidR="00021641" w:rsidRPr="009862F5">
        <w:rPr>
          <w:rFonts w:ascii="Arial" w:hAnsi="Arial" w:cs="Arial"/>
          <w:color w:val="002060"/>
        </w:rPr>
        <w:t>nights</w:t>
      </w:r>
      <w:r w:rsidR="00CB725D" w:rsidRPr="009862F5">
        <w:rPr>
          <w:rFonts w:ascii="Arial" w:hAnsi="Arial" w:cs="Arial"/>
          <w:color w:val="002060"/>
        </w:rPr>
        <w:t xml:space="preserve"> thresholds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63"/>
        <w:gridCol w:w="2737"/>
        <w:gridCol w:w="2083"/>
        <w:gridCol w:w="2835"/>
      </w:tblGrid>
      <w:tr w:rsidR="00782A6F" w:rsidRPr="004C3673" w14:paraId="2F399E99" w14:textId="77777777" w:rsidTr="0053699F">
        <w:trPr>
          <w:trHeight w:val="584"/>
          <w:tblHeader/>
        </w:trPr>
        <w:tc>
          <w:tcPr>
            <w:tcW w:w="2263" w:type="dxa"/>
            <w:shd w:val="clear" w:color="auto" w:fill="D9D9D9" w:themeFill="background1" w:themeFillShade="D9"/>
            <w:tcMar>
              <w:top w:w="15" w:type="dxa"/>
              <w:left w:w="108" w:type="dxa"/>
              <w:bottom w:w="0" w:type="dxa"/>
              <w:right w:w="108" w:type="dxa"/>
            </w:tcMar>
            <w:hideMark/>
          </w:tcPr>
          <w:p w14:paraId="029FE3A7" w14:textId="77777777" w:rsidR="00782A6F" w:rsidRPr="004C3673" w:rsidRDefault="00782A6F" w:rsidP="00F25C21">
            <w:pPr>
              <w:rPr>
                <w:rFonts w:ascii="Arial" w:hAnsi="Arial" w:cs="Arial"/>
                <w:b/>
                <w:bCs/>
              </w:rPr>
            </w:pPr>
            <w:bookmarkStart w:id="30" w:name="Title_5" w:colFirst="0" w:colLast="0"/>
            <w:r w:rsidRPr="004C3673">
              <w:rPr>
                <w:rFonts w:ascii="Arial" w:hAnsi="Arial" w:cs="Arial"/>
                <w:b/>
                <w:bCs/>
              </w:rPr>
              <w:t>Measure: Nights</w:t>
            </w:r>
          </w:p>
        </w:tc>
        <w:tc>
          <w:tcPr>
            <w:tcW w:w="2737" w:type="dxa"/>
            <w:shd w:val="clear" w:color="auto" w:fill="D9D9D9" w:themeFill="background1" w:themeFillShade="D9"/>
            <w:tcMar>
              <w:top w:w="15" w:type="dxa"/>
              <w:left w:w="108" w:type="dxa"/>
              <w:bottom w:w="0" w:type="dxa"/>
              <w:right w:w="108" w:type="dxa"/>
            </w:tcMar>
            <w:hideMark/>
          </w:tcPr>
          <w:p w14:paraId="4AED35F0" w14:textId="77777777" w:rsidR="00782A6F" w:rsidRPr="004C3673" w:rsidRDefault="00782A6F" w:rsidP="00F25C21">
            <w:pPr>
              <w:rPr>
                <w:rFonts w:ascii="Arial" w:hAnsi="Arial" w:cs="Arial"/>
              </w:rPr>
            </w:pPr>
            <w:r w:rsidRPr="004C3673">
              <w:rPr>
                <w:rFonts w:ascii="Arial" w:hAnsi="Arial" w:cs="Arial"/>
                <w:b/>
                <w:bCs/>
              </w:rPr>
              <w:t>Rule 1</w:t>
            </w:r>
          </w:p>
        </w:tc>
        <w:tc>
          <w:tcPr>
            <w:tcW w:w="2083" w:type="dxa"/>
            <w:shd w:val="clear" w:color="auto" w:fill="D9D9D9" w:themeFill="background1" w:themeFillShade="D9"/>
            <w:tcMar>
              <w:top w:w="15" w:type="dxa"/>
              <w:left w:w="108" w:type="dxa"/>
              <w:bottom w:w="0" w:type="dxa"/>
              <w:right w:w="108" w:type="dxa"/>
            </w:tcMar>
            <w:hideMark/>
          </w:tcPr>
          <w:p w14:paraId="093B21D8" w14:textId="77777777" w:rsidR="00782A6F" w:rsidRPr="004C3673" w:rsidRDefault="00782A6F" w:rsidP="00F25C21">
            <w:pPr>
              <w:rPr>
                <w:rFonts w:ascii="Arial" w:hAnsi="Arial" w:cs="Arial"/>
              </w:rPr>
            </w:pPr>
            <w:r w:rsidRPr="004C3673">
              <w:rPr>
                <w:rFonts w:ascii="Arial" w:hAnsi="Arial" w:cs="Arial"/>
                <w:b/>
                <w:bCs/>
              </w:rPr>
              <w:t>Rule 2</w:t>
            </w:r>
          </w:p>
        </w:tc>
        <w:tc>
          <w:tcPr>
            <w:tcW w:w="2835" w:type="dxa"/>
            <w:shd w:val="clear" w:color="auto" w:fill="D9D9D9" w:themeFill="background1" w:themeFillShade="D9"/>
            <w:tcMar>
              <w:top w:w="15" w:type="dxa"/>
              <w:left w:w="108" w:type="dxa"/>
              <w:bottom w:w="0" w:type="dxa"/>
              <w:right w:w="108" w:type="dxa"/>
            </w:tcMar>
            <w:hideMark/>
          </w:tcPr>
          <w:p w14:paraId="3C8E03EE" w14:textId="77777777" w:rsidR="00782A6F" w:rsidRPr="004C3673" w:rsidRDefault="00782A6F" w:rsidP="00F25C21">
            <w:pPr>
              <w:rPr>
                <w:rFonts w:ascii="Arial" w:hAnsi="Arial" w:cs="Arial"/>
              </w:rPr>
            </w:pPr>
            <w:r w:rsidRPr="004C3673">
              <w:rPr>
                <w:rFonts w:ascii="Arial" w:hAnsi="Arial" w:cs="Arial"/>
                <w:b/>
                <w:bCs/>
              </w:rPr>
              <w:t>Notes</w:t>
            </w:r>
          </w:p>
        </w:tc>
      </w:tr>
      <w:bookmarkEnd w:id="30"/>
      <w:tr w:rsidR="002055EC" w:rsidRPr="004C3673" w14:paraId="70A6C73F" w14:textId="77777777" w:rsidTr="0053699F">
        <w:trPr>
          <w:trHeight w:val="584"/>
        </w:trPr>
        <w:tc>
          <w:tcPr>
            <w:tcW w:w="2263" w:type="dxa"/>
            <w:shd w:val="clear" w:color="auto" w:fill="auto"/>
            <w:tcMar>
              <w:top w:w="15" w:type="dxa"/>
              <w:left w:w="108" w:type="dxa"/>
              <w:bottom w:w="0" w:type="dxa"/>
              <w:right w:w="108" w:type="dxa"/>
            </w:tcMar>
            <w:hideMark/>
          </w:tcPr>
          <w:p w14:paraId="508624F4" w14:textId="53CE07EF" w:rsidR="002055EC" w:rsidRPr="004C3673" w:rsidRDefault="002055EC" w:rsidP="002055EC">
            <w:pPr>
              <w:rPr>
                <w:rFonts w:ascii="Arial" w:hAnsi="Arial" w:cs="Arial"/>
              </w:rPr>
            </w:pPr>
            <w:r w:rsidRPr="004C3673">
              <w:rPr>
                <w:rFonts w:ascii="Arial" w:hAnsi="Arial" w:cs="Arial"/>
                <w:color w:val="000000"/>
                <w:kern w:val="24"/>
              </w:rPr>
              <w:t>International nights</w:t>
            </w:r>
          </w:p>
        </w:tc>
        <w:tc>
          <w:tcPr>
            <w:tcW w:w="2737" w:type="dxa"/>
            <w:shd w:val="clear" w:color="auto" w:fill="auto"/>
            <w:tcMar>
              <w:top w:w="15" w:type="dxa"/>
              <w:left w:w="108" w:type="dxa"/>
              <w:bottom w:w="0" w:type="dxa"/>
              <w:right w:w="108" w:type="dxa"/>
            </w:tcMar>
            <w:hideMark/>
          </w:tcPr>
          <w:p w14:paraId="45448885" w14:textId="5751BD2B" w:rsidR="002055EC" w:rsidRPr="00AB2377" w:rsidRDefault="002055EC" w:rsidP="002055EC">
            <w:pPr>
              <w:rPr>
                <w:rFonts w:ascii="Arial" w:hAnsi="Arial" w:cs="Arial"/>
              </w:rPr>
            </w:pPr>
            <w:r w:rsidRPr="00AB2377">
              <w:rPr>
                <w:rFonts w:ascii="Arial" w:hAnsi="Arial" w:cs="Arial"/>
                <w:color w:val="000000"/>
                <w:kern w:val="24"/>
              </w:rPr>
              <w:t>5,000+ visitors</w:t>
            </w:r>
          </w:p>
        </w:tc>
        <w:tc>
          <w:tcPr>
            <w:tcW w:w="2083" w:type="dxa"/>
            <w:shd w:val="clear" w:color="auto" w:fill="auto"/>
            <w:tcMar>
              <w:top w:w="15" w:type="dxa"/>
              <w:left w:w="108" w:type="dxa"/>
              <w:bottom w:w="0" w:type="dxa"/>
              <w:right w:w="108" w:type="dxa"/>
            </w:tcMar>
            <w:hideMark/>
          </w:tcPr>
          <w:p w14:paraId="71363506" w14:textId="3AC50FD9" w:rsidR="002055EC" w:rsidRPr="00AB2377" w:rsidRDefault="002055EC" w:rsidP="002055EC">
            <w:pPr>
              <w:rPr>
                <w:rFonts w:ascii="Arial" w:hAnsi="Arial" w:cs="Arial"/>
              </w:rPr>
            </w:pPr>
            <w:r w:rsidRPr="00AB2377">
              <w:rPr>
                <w:rFonts w:ascii="Arial" w:hAnsi="Arial" w:cs="Arial"/>
                <w:color w:val="000000"/>
                <w:kern w:val="24"/>
              </w:rPr>
              <w:t>200,000+ nights</w:t>
            </w:r>
          </w:p>
        </w:tc>
        <w:tc>
          <w:tcPr>
            <w:tcW w:w="2835" w:type="dxa"/>
            <w:shd w:val="clear" w:color="auto" w:fill="auto"/>
            <w:tcMar>
              <w:top w:w="15" w:type="dxa"/>
              <w:left w:w="108" w:type="dxa"/>
              <w:bottom w:w="0" w:type="dxa"/>
              <w:right w:w="108" w:type="dxa"/>
            </w:tcMar>
            <w:hideMark/>
          </w:tcPr>
          <w:p w14:paraId="479D17CC" w14:textId="3291456A" w:rsidR="002055EC" w:rsidRPr="00AB2377" w:rsidRDefault="00F148D1" w:rsidP="002055EC">
            <w:pPr>
              <w:rPr>
                <w:rFonts w:ascii="Arial" w:hAnsi="Arial" w:cs="Arial"/>
              </w:rPr>
            </w:pPr>
            <w:r w:rsidRPr="00AB2377">
              <w:rPr>
                <w:rFonts w:ascii="Arial" w:hAnsi="Arial" w:cs="Arial"/>
                <w:color w:val="000000"/>
                <w:kern w:val="24"/>
              </w:rPr>
              <w:t xml:space="preserve">All time periods excluding </w:t>
            </w:r>
            <w:r w:rsidR="00021641" w:rsidRPr="00AB2377">
              <w:rPr>
                <w:rFonts w:ascii="Arial" w:hAnsi="Arial" w:cs="Arial"/>
                <w:color w:val="000000"/>
                <w:kern w:val="24"/>
              </w:rPr>
              <w:t>year ending</w:t>
            </w:r>
            <w:r w:rsidRPr="00AB2377">
              <w:rPr>
                <w:rFonts w:ascii="Arial" w:hAnsi="Arial" w:cs="Arial"/>
                <w:color w:val="000000"/>
                <w:kern w:val="24"/>
              </w:rPr>
              <w:t xml:space="preserve"> June 2020 to </w:t>
            </w:r>
            <w:r w:rsidR="00021641" w:rsidRPr="00AB2377">
              <w:rPr>
                <w:rFonts w:ascii="Arial" w:hAnsi="Arial" w:cs="Arial"/>
                <w:color w:val="000000"/>
                <w:kern w:val="24"/>
              </w:rPr>
              <w:t xml:space="preserve">year ending </w:t>
            </w:r>
            <w:r w:rsidRPr="00AB2377">
              <w:rPr>
                <w:rFonts w:ascii="Arial" w:hAnsi="Arial" w:cs="Arial"/>
                <w:color w:val="000000"/>
                <w:kern w:val="24"/>
              </w:rPr>
              <w:t>September 2023 inclusive.</w:t>
            </w:r>
          </w:p>
        </w:tc>
      </w:tr>
      <w:tr w:rsidR="002055EC" w:rsidRPr="004C3673" w14:paraId="65A3CEC1" w14:textId="77777777" w:rsidTr="0053699F">
        <w:trPr>
          <w:trHeight w:val="584"/>
        </w:trPr>
        <w:tc>
          <w:tcPr>
            <w:tcW w:w="2263" w:type="dxa"/>
            <w:shd w:val="clear" w:color="auto" w:fill="auto"/>
            <w:tcMar>
              <w:top w:w="15" w:type="dxa"/>
              <w:left w:w="108" w:type="dxa"/>
              <w:bottom w:w="0" w:type="dxa"/>
              <w:right w:w="108" w:type="dxa"/>
            </w:tcMar>
          </w:tcPr>
          <w:p w14:paraId="75665B69" w14:textId="0CBCCBDC" w:rsidR="002055EC" w:rsidRPr="004C3673" w:rsidRDefault="002055EC" w:rsidP="002055EC">
            <w:pPr>
              <w:rPr>
                <w:rFonts w:ascii="Arial" w:hAnsi="Arial" w:cs="Arial"/>
              </w:rPr>
            </w:pPr>
            <w:r w:rsidRPr="004C3673">
              <w:rPr>
                <w:rFonts w:ascii="Arial" w:hAnsi="Arial" w:cs="Arial"/>
                <w:color w:val="000000"/>
                <w:kern w:val="24"/>
              </w:rPr>
              <w:t>International nights</w:t>
            </w:r>
          </w:p>
        </w:tc>
        <w:tc>
          <w:tcPr>
            <w:tcW w:w="2737" w:type="dxa"/>
            <w:shd w:val="clear" w:color="auto" w:fill="auto"/>
            <w:tcMar>
              <w:top w:w="15" w:type="dxa"/>
              <w:left w:w="108" w:type="dxa"/>
              <w:bottom w:w="0" w:type="dxa"/>
              <w:right w:w="108" w:type="dxa"/>
            </w:tcMar>
          </w:tcPr>
          <w:p w14:paraId="72CDC4FA" w14:textId="214D9302" w:rsidR="002055EC" w:rsidRPr="00AB2377" w:rsidRDefault="002055EC" w:rsidP="002055EC">
            <w:pPr>
              <w:rPr>
                <w:rFonts w:ascii="Arial" w:hAnsi="Arial" w:cs="Arial"/>
              </w:rPr>
            </w:pPr>
            <w:r w:rsidRPr="00AB2377">
              <w:rPr>
                <w:rFonts w:ascii="Arial" w:hAnsi="Arial" w:cs="Arial"/>
                <w:color w:val="000000"/>
                <w:kern w:val="24"/>
              </w:rPr>
              <w:t>No thresholds at the state level</w:t>
            </w:r>
            <w:r w:rsidR="004070F0" w:rsidRPr="00AB2377">
              <w:rPr>
                <w:rFonts w:ascii="Arial" w:hAnsi="Arial" w:cs="Arial"/>
                <w:color w:val="000000"/>
                <w:kern w:val="24"/>
              </w:rPr>
              <w:t xml:space="preserve"> (year ending </w:t>
            </w:r>
            <w:r w:rsidR="00CA2BEA" w:rsidRPr="00AB2377">
              <w:rPr>
                <w:rFonts w:ascii="Arial" w:hAnsi="Arial" w:cs="Arial"/>
                <w:color w:val="000000"/>
                <w:kern w:val="24"/>
              </w:rPr>
              <w:t>June</w:t>
            </w:r>
            <w:r w:rsidR="004070F0" w:rsidRPr="00AB2377">
              <w:rPr>
                <w:rFonts w:ascii="Arial" w:hAnsi="Arial" w:cs="Arial"/>
                <w:color w:val="000000"/>
                <w:kern w:val="24"/>
              </w:rPr>
              <w:t xml:space="preserve"> 202</w:t>
            </w:r>
            <w:r w:rsidR="00CA2BEA" w:rsidRPr="00AB2377">
              <w:rPr>
                <w:rFonts w:ascii="Arial" w:hAnsi="Arial" w:cs="Arial"/>
                <w:color w:val="000000"/>
                <w:kern w:val="24"/>
              </w:rPr>
              <w:t>0</w:t>
            </w:r>
            <w:r w:rsidR="004070F0" w:rsidRPr="00AB2377">
              <w:rPr>
                <w:rFonts w:ascii="Arial" w:hAnsi="Arial" w:cs="Arial"/>
                <w:color w:val="000000"/>
                <w:kern w:val="24"/>
              </w:rPr>
              <w:t xml:space="preserve"> to year ending </w:t>
            </w:r>
            <w:r w:rsidR="00CA2BEA" w:rsidRPr="00AB2377">
              <w:rPr>
                <w:rFonts w:ascii="Arial" w:hAnsi="Arial" w:cs="Arial"/>
                <w:color w:val="000000"/>
                <w:kern w:val="24"/>
              </w:rPr>
              <w:t>September 2023</w:t>
            </w:r>
            <w:r w:rsidR="004070F0" w:rsidRPr="00AB2377">
              <w:rPr>
                <w:rFonts w:ascii="Arial" w:hAnsi="Arial" w:cs="Arial"/>
                <w:color w:val="000000"/>
                <w:kern w:val="24"/>
              </w:rPr>
              <w:t xml:space="preserve"> </w:t>
            </w:r>
            <w:r w:rsidR="00BA2116" w:rsidRPr="00AB2377">
              <w:rPr>
                <w:rFonts w:ascii="Arial" w:hAnsi="Arial" w:cs="Arial"/>
                <w:color w:val="000000"/>
                <w:kern w:val="24"/>
              </w:rPr>
              <w:t>include</w:t>
            </w:r>
            <w:r w:rsidR="004070F0" w:rsidRPr="00AB2377">
              <w:rPr>
                <w:rFonts w:ascii="Arial" w:hAnsi="Arial" w:cs="Arial"/>
                <w:color w:val="000000"/>
                <w:kern w:val="24"/>
              </w:rPr>
              <w:t xml:space="preserve"> imputed </w:t>
            </w:r>
            <w:r w:rsidR="00BA2116" w:rsidRPr="00AB2377">
              <w:rPr>
                <w:rFonts w:ascii="Arial" w:hAnsi="Arial" w:cs="Arial"/>
                <w:color w:val="000000"/>
                <w:kern w:val="24"/>
              </w:rPr>
              <w:t xml:space="preserve">data </w:t>
            </w:r>
            <w:r w:rsidR="004070F0" w:rsidRPr="00AB2377">
              <w:rPr>
                <w:rFonts w:ascii="Arial" w:hAnsi="Arial" w:cs="Arial"/>
                <w:color w:val="000000"/>
                <w:kern w:val="24"/>
              </w:rPr>
              <w:t>so thresholds are not applicable).</w:t>
            </w:r>
          </w:p>
        </w:tc>
        <w:tc>
          <w:tcPr>
            <w:tcW w:w="2083" w:type="dxa"/>
            <w:shd w:val="clear" w:color="auto" w:fill="auto"/>
            <w:tcMar>
              <w:top w:w="15" w:type="dxa"/>
              <w:left w:w="108" w:type="dxa"/>
              <w:bottom w:w="0" w:type="dxa"/>
              <w:right w:w="108" w:type="dxa"/>
            </w:tcMar>
          </w:tcPr>
          <w:p w14:paraId="5B0A9225" w14:textId="380D70F2" w:rsidR="002055EC" w:rsidRPr="00AB2377" w:rsidRDefault="00546B61" w:rsidP="002055EC">
            <w:pPr>
              <w:rPr>
                <w:rFonts w:ascii="Arial" w:hAnsi="Arial" w:cs="Arial"/>
              </w:rPr>
            </w:pPr>
            <w:r w:rsidRPr="00AB2377">
              <w:rPr>
                <w:rFonts w:ascii="Arial" w:hAnsi="Arial" w:cs="Arial"/>
                <w:color w:val="000000"/>
                <w:kern w:val="24"/>
              </w:rPr>
              <w:t xml:space="preserve">Non-publish (np) </w:t>
            </w:r>
            <w:r w:rsidR="002055EC" w:rsidRPr="00AB2377">
              <w:rPr>
                <w:rFonts w:ascii="Arial" w:hAnsi="Arial" w:cs="Arial"/>
                <w:color w:val="000000"/>
                <w:kern w:val="24"/>
              </w:rPr>
              <w:t>below state level</w:t>
            </w:r>
            <w:r w:rsidRPr="00AB2377">
              <w:rPr>
                <w:rFonts w:ascii="Arial" w:hAnsi="Arial" w:cs="Arial"/>
                <w:color w:val="000000"/>
                <w:kern w:val="24"/>
              </w:rPr>
              <w:t>.</w:t>
            </w:r>
          </w:p>
        </w:tc>
        <w:tc>
          <w:tcPr>
            <w:tcW w:w="2835" w:type="dxa"/>
            <w:shd w:val="clear" w:color="auto" w:fill="auto"/>
            <w:tcMar>
              <w:top w:w="15" w:type="dxa"/>
              <w:left w:w="108" w:type="dxa"/>
              <w:bottom w:w="0" w:type="dxa"/>
              <w:right w:w="108" w:type="dxa"/>
            </w:tcMar>
          </w:tcPr>
          <w:p w14:paraId="3F9581DD" w14:textId="32193957" w:rsidR="002055EC" w:rsidRPr="00AB2377" w:rsidRDefault="002055EC" w:rsidP="002055EC">
            <w:pPr>
              <w:rPr>
                <w:rFonts w:ascii="Arial" w:hAnsi="Arial" w:cs="Arial"/>
              </w:rPr>
            </w:pPr>
            <w:r w:rsidRPr="00AB2377">
              <w:rPr>
                <w:rFonts w:ascii="Arial" w:hAnsi="Arial" w:cs="Arial"/>
                <w:color w:val="000000"/>
                <w:kern w:val="24"/>
              </w:rPr>
              <w:t>Y</w:t>
            </w:r>
            <w:r w:rsidR="00021641" w:rsidRPr="00AB2377">
              <w:rPr>
                <w:rFonts w:ascii="Arial" w:hAnsi="Arial" w:cs="Arial"/>
                <w:color w:val="000000"/>
                <w:kern w:val="24"/>
              </w:rPr>
              <w:t>ear ending</w:t>
            </w:r>
            <w:r w:rsidRPr="00AB2377">
              <w:rPr>
                <w:rFonts w:ascii="Arial" w:hAnsi="Arial" w:cs="Arial"/>
                <w:color w:val="000000"/>
                <w:kern w:val="24"/>
              </w:rPr>
              <w:t xml:space="preserve"> </w:t>
            </w:r>
            <w:r w:rsidR="001A795A" w:rsidRPr="00AB2377">
              <w:rPr>
                <w:rFonts w:ascii="Arial" w:hAnsi="Arial" w:cs="Arial"/>
                <w:color w:val="000000"/>
                <w:kern w:val="24"/>
              </w:rPr>
              <w:t>June 2020</w:t>
            </w:r>
            <w:r w:rsidRPr="00AB2377">
              <w:rPr>
                <w:rFonts w:ascii="Arial" w:hAnsi="Arial" w:cs="Arial"/>
                <w:color w:val="000000"/>
                <w:kern w:val="24"/>
              </w:rPr>
              <w:t xml:space="preserve"> – </w:t>
            </w:r>
            <w:r w:rsidRPr="00AB2377">
              <w:rPr>
                <w:rFonts w:ascii="Arial" w:hAnsi="Arial" w:cs="Arial"/>
                <w:color w:val="000000"/>
                <w:kern w:val="24"/>
              </w:rPr>
              <w:br/>
            </w:r>
            <w:r w:rsidR="00021641" w:rsidRPr="00AB2377">
              <w:rPr>
                <w:rFonts w:ascii="Arial" w:hAnsi="Arial" w:cs="Arial"/>
                <w:color w:val="000000"/>
                <w:kern w:val="24"/>
              </w:rPr>
              <w:t>year ending</w:t>
            </w:r>
            <w:r w:rsidRPr="00AB2377">
              <w:rPr>
                <w:rFonts w:ascii="Arial" w:hAnsi="Arial" w:cs="Arial"/>
                <w:color w:val="000000"/>
                <w:kern w:val="24"/>
              </w:rPr>
              <w:t xml:space="preserve"> </w:t>
            </w:r>
            <w:r w:rsidR="001A795A" w:rsidRPr="00AB2377">
              <w:rPr>
                <w:rFonts w:ascii="Arial" w:hAnsi="Arial" w:cs="Arial"/>
                <w:color w:val="000000"/>
                <w:kern w:val="24"/>
              </w:rPr>
              <w:t>September 2023</w:t>
            </w:r>
            <w:r w:rsidR="00534ABB" w:rsidRPr="00AB2377">
              <w:rPr>
                <w:rFonts w:ascii="Arial" w:hAnsi="Arial" w:cs="Arial"/>
                <w:color w:val="000000"/>
                <w:kern w:val="24"/>
              </w:rPr>
              <w:t xml:space="preserve"> inclusive</w:t>
            </w:r>
            <w:r w:rsidR="00021641" w:rsidRPr="00AB2377">
              <w:rPr>
                <w:rFonts w:ascii="Arial" w:hAnsi="Arial" w:cs="Arial"/>
                <w:color w:val="000000"/>
                <w:kern w:val="24"/>
              </w:rPr>
              <w:t>.</w:t>
            </w:r>
          </w:p>
        </w:tc>
      </w:tr>
      <w:tr w:rsidR="00680C1E" w:rsidRPr="004C3673" w14:paraId="4844AD6F" w14:textId="77777777" w:rsidTr="0053699F">
        <w:trPr>
          <w:trHeight w:val="584"/>
        </w:trPr>
        <w:tc>
          <w:tcPr>
            <w:tcW w:w="2263" w:type="dxa"/>
            <w:shd w:val="clear" w:color="auto" w:fill="auto"/>
            <w:tcMar>
              <w:top w:w="15" w:type="dxa"/>
              <w:left w:w="108" w:type="dxa"/>
              <w:bottom w:w="0" w:type="dxa"/>
              <w:right w:w="108" w:type="dxa"/>
            </w:tcMar>
          </w:tcPr>
          <w:p w14:paraId="78978AB8" w14:textId="3F09EC95" w:rsidR="00680C1E" w:rsidRPr="00C60EC6" w:rsidRDefault="004E607E" w:rsidP="002055EC">
            <w:pPr>
              <w:rPr>
                <w:rFonts w:ascii="Arial" w:hAnsi="Arial" w:cs="Arial"/>
                <w:color w:val="000000"/>
                <w:kern w:val="24"/>
              </w:rPr>
            </w:pPr>
            <w:r w:rsidRPr="00C60EC6">
              <w:rPr>
                <w:rFonts w:ascii="Arial" w:hAnsi="Arial" w:cs="Arial"/>
                <w:color w:val="000000"/>
                <w:kern w:val="24"/>
              </w:rPr>
              <w:lastRenderedPageBreak/>
              <w:t>International nights</w:t>
            </w:r>
            <w:r w:rsidR="00F76937" w:rsidRPr="00C60EC6">
              <w:rPr>
                <w:rFonts w:ascii="Arial" w:hAnsi="Arial" w:cs="Arial"/>
                <w:color w:val="000000"/>
                <w:kern w:val="24"/>
              </w:rPr>
              <w:t xml:space="preserve"> cross-classifications</w:t>
            </w:r>
          </w:p>
        </w:tc>
        <w:tc>
          <w:tcPr>
            <w:tcW w:w="2737" w:type="dxa"/>
            <w:shd w:val="clear" w:color="auto" w:fill="auto"/>
            <w:tcMar>
              <w:top w:w="15" w:type="dxa"/>
              <w:left w:w="108" w:type="dxa"/>
              <w:bottom w:w="0" w:type="dxa"/>
              <w:right w:w="108" w:type="dxa"/>
            </w:tcMar>
          </w:tcPr>
          <w:p w14:paraId="68B19CEB" w14:textId="209F9702" w:rsidR="00680C1E" w:rsidRPr="00C60EC6" w:rsidRDefault="007E5522" w:rsidP="002055EC">
            <w:pPr>
              <w:rPr>
                <w:rFonts w:ascii="Arial" w:hAnsi="Arial" w:cs="Arial"/>
                <w:color w:val="000000"/>
                <w:kern w:val="24"/>
              </w:rPr>
            </w:pPr>
            <w:r w:rsidRPr="00C60EC6">
              <w:rPr>
                <w:rFonts w:ascii="Arial" w:hAnsi="Arial" w:cs="Arial"/>
                <w:color w:val="000000"/>
                <w:kern w:val="24"/>
              </w:rPr>
              <w:t>Sample 40+ (&gt;39)</w:t>
            </w:r>
          </w:p>
        </w:tc>
        <w:tc>
          <w:tcPr>
            <w:tcW w:w="2083" w:type="dxa"/>
            <w:shd w:val="clear" w:color="auto" w:fill="auto"/>
            <w:tcMar>
              <w:top w:w="15" w:type="dxa"/>
              <w:left w:w="108" w:type="dxa"/>
              <w:bottom w:w="0" w:type="dxa"/>
              <w:right w:w="108" w:type="dxa"/>
            </w:tcMar>
          </w:tcPr>
          <w:p w14:paraId="00DDC8C1" w14:textId="65F12E3D" w:rsidR="00680C1E" w:rsidRPr="00C60EC6" w:rsidRDefault="00822EA7" w:rsidP="002055EC">
            <w:pPr>
              <w:rPr>
                <w:rFonts w:ascii="Arial" w:hAnsi="Arial" w:cs="Arial"/>
                <w:color w:val="000000"/>
                <w:kern w:val="24"/>
              </w:rPr>
            </w:pPr>
            <w:r w:rsidRPr="00C60EC6">
              <w:rPr>
                <w:rFonts w:ascii="Arial" w:hAnsi="Arial" w:cs="Arial"/>
                <w:color w:val="000000"/>
                <w:kern w:val="24"/>
              </w:rPr>
              <w:t xml:space="preserve">Non-publish (np) below state level for </w:t>
            </w:r>
            <w:r w:rsidR="00F02CEC" w:rsidRPr="00C60EC6">
              <w:rPr>
                <w:rFonts w:ascii="Arial" w:hAnsi="Arial" w:cs="Arial"/>
                <w:color w:val="000000"/>
                <w:kern w:val="24"/>
              </w:rPr>
              <w:t>year ending</w:t>
            </w:r>
            <w:r w:rsidRPr="00C60EC6">
              <w:rPr>
                <w:rFonts w:ascii="Arial" w:hAnsi="Arial" w:cs="Arial"/>
                <w:color w:val="000000"/>
                <w:kern w:val="24"/>
              </w:rPr>
              <w:t xml:space="preserve"> June 2020 – </w:t>
            </w:r>
            <w:r w:rsidR="00F02CEC" w:rsidRPr="00C60EC6">
              <w:rPr>
                <w:rFonts w:ascii="Arial" w:hAnsi="Arial" w:cs="Arial"/>
                <w:color w:val="000000"/>
                <w:kern w:val="24"/>
              </w:rPr>
              <w:t>year ending</w:t>
            </w:r>
            <w:r w:rsidRPr="00C60EC6">
              <w:rPr>
                <w:rFonts w:ascii="Arial" w:hAnsi="Arial" w:cs="Arial"/>
                <w:color w:val="000000"/>
                <w:kern w:val="24"/>
              </w:rPr>
              <w:t xml:space="preserve"> September 2023 except for </w:t>
            </w:r>
            <w:r w:rsidR="00F02CEC" w:rsidRPr="00C60EC6">
              <w:rPr>
                <w:rFonts w:ascii="Arial" w:hAnsi="Arial" w:cs="Arial"/>
                <w:color w:val="000000"/>
                <w:kern w:val="24"/>
              </w:rPr>
              <w:t>s</w:t>
            </w:r>
            <w:r w:rsidRPr="00C60EC6">
              <w:rPr>
                <w:rFonts w:ascii="Arial" w:hAnsi="Arial" w:cs="Arial"/>
                <w:color w:val="000000"/>
                <w:kern w:val="24"/>
              </w:rPr>
              <w:t xml:space="preserve">tate by </w:t>
            </w:r>
            <w:r w:rsidR="00F02CEC" w:rsidRPr="00C60EC6">
              <w:rPr>
                <w:rFonts w:ascii="Arial" w:hAnsi="Arial" w:cs="Arial"/>
                <w:color w:val="000000"/>
                <w:kern w:val="24"/>
              </w:rPr>
              <w:t>m</w:t>
            </w:r>
            <w:r w:rsidRPr="00C60EC6">
              <w:rPr>
                <w:rFonts w:ascii="Arial" w:hAnsi="Arial" w:cs="Arial"/>
                <w:color w:val="000000"/>
                <w:kern w:val="24"/>
              </w:rPr>
              <w:t>arket.</w:t>
            </w:r>
          </w:p>
        </w:tc>
        <w:tc>
          <w:tcPr>
            <w:tcW w:w="2835" w:type="dxa"/>
            <w:shd w:val="clear" w:color="auto" w:fill="auto"/>
            <w:tcMar>
              <w:top w:w="15" w:type="dxa"/>
              <w:left w:w="108" w:type="dxa"/>
              <w:bottom w:w="0" w:type="dxa"/>
              <w:right w:w="108" w:type="dxa"/>
            </w:tcMar>
          </w:tcPr>
          <w:p w14:paraId="2A002106" w14:textId="63813F9E" w:rsidR="00680C1E" w:rsidRPr="00C60EC6" w:rsidRDefault="007E5522" w:rsidP="002055EC">
            <w:pPr>
              <w:rPr>
                <w:rFonts w:ascii="Arial" w:hAnsi="Arial" w:cs="Arial"/>
                <w:color w:val="000000"/>
                <w:kern w:val="24"/>
              </w:rPr>
            </w:pPr>
            <w:r w:rsidRPr="00C60EC6">
              <w:rPr>
                <w:rFonts w:ascii="Arial" w:hAnsi="Arial" w:cs="Arial"/>
                <w:color w:val="000000"/>
                <w:kern w:val="24"/>
              </w:rPr>
              <w:t xml:space="preserve">All time </w:t>
            </w:r>
            <w:r w:rsidR="00F46998" w:rsidRPr="00C60EC6">
              <w:rPr>
                <w:rFonts w:ascii="Arial" w:hAnsi="Arial" w:cs="Arial"/>
                <w:color w:val="000000"/>
                <w:kern w:val="24"/>
              </w:rPr>
              <w:t>periods.</w:t>
            </w:r>
          </w:p>
          <w:p w14:paraId="576B3E5F" w14:textId="4E2E7EA2" w:rsidR="003F40FE" w:rsidRPr="00C60EC6" w:rsidRDefault="003F40FE" w:rsidP="002055EC">
            <w:pPr>
              <w:rPr>
                <w:rFonts w:ascii="Arial" w:hAnsi="Arial" w:cs="Arial"/>
                <w:color w:val="000000"/>
                <w:kern w:val="24"/>
              </w:rPr>
            </w:pPr>
            <w:r w:rsidRPr="00C60EC6">
              <w:rPr>
                <w:rFonts w:ascii="Arial" w:hAnsi="Arial" w:cs="Arial"/>
                <w:color w:val="000000"/>
                <w:kern w:val="24"/>
              </w:rPr>
              <w:t xml:space="preserve">Note </w:t>
            </w:r>
            <w:r w:rsidR="00F46998" w:rsidRPr="00C60EC6">
              <w:rPr>
                <w:rFonts w:ascii="Arial" w:hAnsi="Arial" w:cs="Arial"/>
                <w:color w:val="000000"/>
                <w:kern w:val="24"/>
              </w:rPr>
              <w:t xml:space="preserve">the </w:t>
            </w:r>
            <w:r w:rsidRPr="00C60EC6">
              <w:rPr>
                <w:rFonts w:ascii="Arial" w:hAnsi="Arial" w:cs="Arial"/>
                <w:color w:val="000000"/>
                <w:kern w:val="24"/>
              </w:rPr>
              <w:t>only</w:t>
            </w:r>
            <w:r w:rsidR="00F46998" w:rsidRPr="00C60EC6">
              <w:rPr>
                <w:rFonts w:ascii="Arial" w:hAnsi="Arial" w:cs="Arial"/>
                <w:color w:val="000000"/>
                <w:kern w:val="24"/>
              </w:rPr>
              <w:t xml:space="preserve"> cross-classification that is </w:t>
            </w:r>
            <w:r w:rsidRPr="00C60EC6">
              <w:rPr>
                <w:rFonts w:ascii="Arial" w:hAnsi="Arial" w:cs="Arial"/>
                <w:color w:val="000000"/>
                <w:kern w:val="24"/>
              </w:rPr>
              <w:t>publishable</w:t>
            </w:r>
            <w:r w:rsidR="00F46998" w:rsidRPr="00C60EC6">
              <w:rPr>
                <w:rFonts w:ascii="Arial" w:hAnsi="Arial" w:cs="Arial"/>
                <w:color w:val="000000"/>
                <w:kern w:val="24"/>
              </w:rPr>
              <w:t xml:space="preserve"> between</w:t>
            </w:r>
            <w:r w:rsidRPr="00C60EC6">
              <w:rPr>
                <w:rFonts w:ascii="Arial" w:hAnsi="Arial" w:cs="Arial"/>
                <w:color w:val="000000"/>
                <w:kern w:val="24"/>
              </w:rPr>
              <w:t xml:space="preserve"> </w:t>
            </w:r>
            <w:r w:rsidR="00FA12C7" w:rsidRPr="00C60EC6">
              <w:rPr>
                <w:rFonts w:ascii="Arial" w:hAnsi="Arial" w:cs="Arial"/>
                <w:color w:val="000000"/>
                <w:kern w:val="24"/>
              </w:rPr>
              <w:t xml:space="preserve">year ending </w:t>
            </w:r>
            <w:r w:rsidRPr="00C60EC6">
              <w:rPr>
                <w:rFonts w:ascii="Arial" w:hAnsi="Arial" w:cs="Arial"/>
                <w:color w:val="000000"/>
                <w:kern w:val="24"/>
              </w:rPr>
              <w:t xml:space="preserve">June 2020 – </w:t>
            </w:r>
            <w:r w:rsidR="00FA12C7" w:rsidRPr="00C60EC6">
              <w:rPr>
                <w:rFonts w:ascii="Arial" w:hAnsi="Arial" w:cs="Arial"/>
                <w:color w:val="000000"/>
                <w:kern w:val="24"/>
              </w:rPr>
              <w:t xml:space="preserve">year ending </w:t>
            </w:r>
            <w:r w:rsidRPr="00C60EC6">
              <w:rPr>
                <w:rFonts w:ascii="Arial" w:hAnsi="Arial" w:cs="Arial"/>
                <w:color w:val="000000"/>
                <w:kern w:val="24"/>
              </w:rPr>
              <w:t>September 2023 inclusive</w:t>
            </w:r>
            <w:r w:rsidR="00F46998" w:rsidRPr="00C60EC6">
              <w:rPr>
                <w:rFonts w:ascii="Arial" w:hAnsi="Arial" w:cs="Arial"/>
                <w:color w:val="000000"/>
                <w:kern w:val="24"/>
              </w:rPr>
              <w:t xml:space="preserve"> is </w:t>
            </w:r>
            <w:r w:rsidR="00FA12C7" w:rsidRPr="00C60EC6">
              <w:rPr>
                <w:rFonts w:ascii="Arial" w:hAnsi="Arial" w:cs="Arial"/>
                <w:color w:val="000000"/>
                <w:kern w:val="24"/>
              </w:rPr>
              <w:t>s</w:t>
            </w:r>
            <w:r w:rsidR="00F46998" w:rsidRPr="00C60EC6">
              <w:rPr>
                <w:rFonts w:ascii="Arial" w:hAnsi="Arial" w:cs="Arial"/>
                <w:color w:val="000000"/>
                <w:kern w:val="24"/>
              </w:rPr>
              <w:t xml:space="preserve">tate by </w:t>
            </w:r>
            <w:r w:rsidR="00FA12C7" w:rsidRPr="00C60EC6">
              <w:rPr>
                <w:rFonts w:ascii="Arial" w:hAnsi="Arial" w:cs="Arial"/>
                <w:color w:val="000000"/>
                <w:kern w:val="24"/>
              </w:rPr>
              <w:t>m</w:t>
            </w:r>
            <w:r w:rsidR="00F46998" w:rsidRPr="00C60EC6">
              <w:rPr>
                <w:rFonts w:ascii="Arial" w:hAnsi="Arial" w:cs="Arial"/>
                <w:color w:val="000000"/>
                <w:kern w:val="24"/>
              </w:rPr>
              <w:t>arket</w:t>
            </w:r>
            <w:r w:rsidRPr="00C60EC6">
              <w:rPr>
                <w:rFonts w:ascii="Arial" w:hAnsi="Arial" w:cs="Arial"/>
                <w:color w:val="000000"/>
                <w:kern w:val="24"/>
              </w:rPr>
              <w:t>.</w:t>
            </w:r>
          </w:p>
        </w:tc>
      </w:tr>
    </w:tbl>
    <w:p w14:paraId="20DFDC1B" w14:textId="77777777" w:rsidR="009A7271" w:rsidRPr="009A7271" w:rsidRDefault="009A7271" w:rsidP="009A7271">
      <w:pPr>
        <w:rPr>
          <w:sz w:val="8"/>
          <w:szCs w:val="8"/>
        </w:rPr>
      </w:pPr>
    </w:p>
    <w:p w14:paraId="1F6E5B5C" w14:textId="06630C69" w:rsidR="00CB725D" w:rsidRPr="004C3673" w:rsidRDefault="00AB2377" w:rsidP="00CB725D">
      <w:pPr>
        <w:pStyle w:val="Heading3"/>
        <w:rPr>
          <w:rFonts w:ascii="Arial" w:hAnsi="Arial" w:cs="Arial"/>
        </w:rPr>
      </w:pPr>
      <w:r>
        <w:rPr>
          <w:rFonts w:ascii="Arial" w:hAnsi="Arial" w:cs="Arial"/>
        </w:rPr>
        <w:t xml:space="preserve">3.3.3 </w:t>
      </w:r>
      <w:r w:rsidR="00CB725D" w:rsidRPr="004C3673">
        <w:rPr>
          <w:rFonts w:ascii="Arial" w:hAnsi="Arial" w:cs="Arial"/>
        </w:rPr>
        <w:t>Table</w:t>
      </w:r>
      <w:r>
        <w:rPr>
          <w:rFonts w:ascii="Arial" w:hAnsi="Arial" w:cs="Arial"/>
        </w:rPr>
        <w:t xml:space="preserve"> </w:t>
      </w:r>
      <w:r w:rsidR="00CB725D" w:rsidRPr="004C3673">
        <w:rPr>
          <w:rFonts w:ascii="Arial" w:hAnsi="Arial" w:cs="Arial"/>
        </w:rPr>
        <w:t xml:space="preserve">– IVS spend </w:t>
      </w:r>
      <w:proofErr w:type="gramStart"/>
      <w:r w:rsidR="00CB725D" w:rsidRPr="004C3673">
        <w:rPr>
          <w:rFonts w:ascii="Arial" w:hAnsi="Arial" w:cs="Arial"/>
        </w:rPr>
        <w:t>thresholds</w:t>
      </w:r>
      <w:proofErr w:type="gram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63"/>
        <w:gridCol w:w="2737"/>
        <w:gridCol w:w="2083"/>
        <w:gridCol w:w="2835"/>
      </w:tblGrid>
      <w:tr w:rsidR="00782A6F" w:rsidRPr="004C3673" w14:paraId="27959555" w14:textId="77777777" w:rsidTr="0053699F">
        <w:trPr>
          <w:trHeight w:val="584"/>
          <w:tblHeader/>
        </w:trPr>
        <w:tc>
          <w:tcPr>
            <w:tcW w:w="2263" w:type="dxa"/>
            <w:shd w:val="clear" w:color="auto" w:fill="D9D9D9" w:themeFill="background1" w:themeFillShade="D9"/>
            <w:tcMar>
              <w:top w:w="15" w:type="dxa"/>
              <w:left w:w="108" w:type="dxa"/>
              <w:bottom w:w="0" w:type="dxa"/>
              <w:right w:w="108" w:type="dxa"/>
            </w:tcMar>
            <w:hideMark/>
          </w:tcPr>
          <w:p w14:paraId="510ED061" w14:textId="77777777" w:rsidR="00782A6F" w:rsidRPr="004C3673" w:rsidRDefault="00782A6F" w:rsidP="00F25C21">
            <w:pPr>
              <w:rPr>
                <w:rFonts w:ascii="Arial" w:hAnsi="Arial" w:cs="Arial"/>
                <w:b/>
                <w:bCs/>
              </w:rPr>
            </w:pPr>
            <w:bookmarkStart w:id="31" w:name="Title_6" w:colFirst="0" w:colLast="0"/>
            <w:r w:rsidRPr="004C3673">
              <w:rPr>
                <w:rFonts w:ascii="Arial" w:hAnsi="Arial" w:cs="Arial"/>
                <w:b/>
                <w:bCs/>
              </w:rPr>
              <w:t>Measure: Spend</w:t>
            </w:r>
          </w:p>
        </w:tc>
        <w:tc>
          <w:tcPr>
            <w:tcW w:w="2737" w:type="dxa"/>
            <w:shd w:val="clear" w:color="auto" w:fill="D9D9D9" w:themeFill="background1" w:themeFillShade="D9"/>
            <w:tcMar>
              <w:top w:w="15" w:type="dxa"/>
              <w:left w:w="108" w:type="dxa"/>
              <w:bottom w:w="0" w:type="dxa"/>
              <w:right w:w="108" w:type="dxa"/>
            </w:tcMar>
            <w:hideMark/>
          </w:tcPr>
          <w:p w14:paraId="405CF6E6" w14:textId="77777777" w:rsidR="00782A6F" w:rsidRPr="004C3673" w:rsidRDefault="00782A6F" w:rsidP="00F25C21">
            <w:pPr>
              <w:rPr>
                <w:rFonts w:ascii="Arial" w:hAnsi="Arial" w:cs="Arial"/>
              </w:rPr>
            </w:pPr>
            <w:r w:rsidRPr="004C3673">
              <w:rPr>
                <w:rFonts w:ascii="Arial" w:hAnsi="Arial" w:cs="Arial"/>
                <w:b/>
                <w:bCs/>
              </w:rPr>
              <w:t>Rule 1</w:t>
            </w:r>
          </w:p>
        </w:tc>
        <w:tc>
          <w:tcPr>
            <w:tcW w:w="2083" w:type="dxa"/>
            <w:shd w:val="clear" w:color="auto" w:fill="D9D9D9" w:themeFill="background1" w:themeFillShade="D9"/>
            <w:tcMar>
              <w:top w:w="15" w:type="dxa"/>
              <w:left w:w="108" w:type="dxa"/>
              <w:bottom w:w="0" w:type="dxa"/>
              <w:right w:w="108" w:type="dxa"/>
            </w:tcMar>
            <w:hideMark/>
          </w:tcPr>
          <w:p w14:paraId="4978B157" w14:textId="77777777" w:rsidR="00782A6F" w:rsidRPr="004C3673" w:rsidRDefault="00782A6F" w:rsidP="00F25C21">
            <w:pPr>
              <w:rPr>
                <w:rFonts w:ascii="Arial" w:hAnsi="Arial" w:cs="Arial"/>
              </w:rPr>
            </w:pPr>
            <w:r w:rsidRPr="004C3673">
              <w:rPr>
                <w:rFonts w:ascii="Arial" w:hAnsi="Arial" w:cs="Arial"/>
                <w:b/>
                <w:bCs/>
              </w:rPr>
              <w:t>Rule 2</w:t>
            </w:r>
          </w:p>
        </w:tc>
        <w:tc>
          <w:tcPr>
            <w:tcW w:w="2835" w:type="dxa"/>
            <w:shd w:val="clear" w:color="auto" w:fill="D9D9D9" w:themeFill="background1" w:themeFillShade="D9"/>
            <w:tcMar>
              <w:top w:w="15" w:type="dxa"/>
              <w:left w:w="108" w:type="dxa"/>
              <w:bottom w:w="0" w:type="dxa"/>
              <w:right w:w="108" w:type="dxa"/>
            </w:tcMar>
            <w:hideMark/>
          </w:tcPr>
          <w:p w14:paraId="36384400" w14:textId="77777777" w:rsidR="00782A6F" w:rsidRPr="004C3673" w:rsidRDefault="00782A6F" w:rsidP="00F25C21">
            <w:pPr>
              <w:rPr>
                <w:rFonts w:ascii="Arial" w:hAnsi="Arial" w:cs="Arial"/>
              </w:rPr>
            </w:pPr>
            <w:r w:rsidRPr="004C3673">
              <w:rPr>
                <w:rFonts w:ascii="Arial" w:hAnsi="Arial" w:cs="Arial"/>
                <w:b/>
                <w:bCs/>
              </w:rPr>
              <w:t>Notes</w:t>
            </w:r>
          </w:p>
        </w:tc>
      </w:tr>
      <w:bookmarkEnd w:id="31"/>
      <w:tr w:rsidR="002055EC" w:rsidRPr="004C3673" w14:paraId="1E0E4BB2" w14:textId="77777777" w:rsidTr="0053699F">
        <w:trPr>
          <w:trHeight w:val="584"/>
        </w:trPr>
        <w:tc>
          <w:tcPr>
            <w:tcW w:w="2263" w:type="dxa"/>
            <w:shd w:val="clear" w:color="auto" w:fill="auto"/>
            <w:tcMar>
              <w:top w:w="15" w:type="dxa"/>
              <w:left w:w="108" w:type="dxa"/>
              <w:bottom w:w="0" w:type="dxa"/>
              <w:right w:w="108" w:type="dxa"/>
            </w:tcMar>
            <w:hideMark/>
          </w:tcPr>
          <w:p w14:paraId="308EB5D9" w14:textId="35662BC0" w:rsidR="002055EC" w:rsidRPr="00C60EC6" w:rsidRDefault="002055EC" w:rsidP="002055EC">
            <w:pPr>
              <w:rPr>
                <w:rFonts w:ascii="Arial" w:hAnsi="Arial" w:cs="Arial"/>
              </w:rPr>
            </w:pPr>
            <w:r w:rsidRPr="00C60EC6">
              <w:rPr>
                <w:rFonts w:ascii="Arial" w:hAnsi="Arial" w:cs="Arial"/>
                <w:color w:val="000000"/>
                <w:kern w:val="24"/>
              </w:rPr>
              <w:t>International overnight</w:t>
            </w:r>
          </w:p>
        </w:tc>
        <w:tc>
          <w:tcPr>
            <w:tcW w:w="2737" w:type="dxa"/>
            <w:shd w:val="clear" w:color="auto" w:fill="auto"/>
            <w:tcMar>
              <w:top w:w="15" w:type="dxa"/>
              <w:left w:w="108" w:type="dxa"/>
              <w:bottom w:w="0" w:type="dxa"/>
              <w:right w:w="108" w:type="dxa"/>
            </w:tcMar>
            <w:hideMark/>
          </w:tcPr>
          <w:p w14:paraId="6DE302BF" w14:textId="131003DB" w:rsidR="002055EC" w:rsidRPr="00C60EC6" w:rsidRDefault="002055EC" w:rsidP="002055EC">
            <w:pPr>
              <w:rPr>
                <w:rFonts w:ascii="Arial" w:hAnsi="Arial" w:cs="Arial"/>
              </w:rPr>
            </w:pPr>
            <w:r w:rsidRPr="00C60EC6">
              <w:rPr>
                <w:rFonts w:ascii="Arial" w:hAnsi="Arial" w:cs="Arial"/>
                <w:color w:val="000000"/>
                <w:kern w:val="24"/>
              </w:rPr>
              <w:t>5,000+ visitors</w:t>
            </w:r>
          </w:p>
        </w:tc>
        <w:tc>
          <w:tcPr>
            <w:tcW w:w="2083" w:type="dxa"/>
            <w:shd w:val="clear" w:color="auto" w:fill="auto"/>
            <w:tcMar>
              <w:top w:w="15" w:type="dxa"/>
              <w:left w:w="108" w:type="dxa"/>
              <w:bottom w:w="0" w:type="dxa"/>
              <w:right w:w="108" w:type="dxa"/>
            </w:tcMar>
            <w:hideMark/>
          </w:tcPr>
          <w:p w14:paraId="38ED4D14" w14:textId="7E1785E6" w:rsidR="002055EC" w:rsidRPr="00C60EC6" w:rsidRDefault="00546B61" w:rsidP="002055EC">
            <w:pPr>
              <w:rPr>
                <w:rFonts w:ascii="Arial" w:hAnsi="Arial" w:cs="Arial"/>
              </w:rPr>
            </w:pPr>
            <w:r w:rsidRPr="00C60EC6">
              <w:rPr>
                <w:rFonts w:ascii="Arial" w:hAnsi="Arial" w:cs="Arial"/>
                <w:color w:val="000000"/>
                <w:kern w:val="24"/>
              </w:rPr>
              <w:t xml:space="preserve">Publish (p) / non-publish (np) </w:t>
            </w:r>
            <w:r w:rsidR="002055EC" w:rsidRPr="00C60EC6">
              <w:rPr>
                <w:rFonts w:ascii="Arial" w:hAnsi="Arial" w:cs="Arial"/>
                <w:color w:val="000000"/>
                <w:kern w:val="24"/>
              </w:rPr>
              <w:t xml:space="preserve">per </w:t>
            </w:r>
            <w:proofErr w:type="spellStart"/>
            <w:r w:rsidR="002055EC" w:rsidRPr="00C60EC6">
              <w:rPr>
                <w:rFonts w:ascii="Arial" w:hAnsi="Arial" w:cs="Arial"/>
                <w:color w:val="000000"/>
                <w:kern w:val="24"/>
              </w:rPr>
              <w:t>SuperCROSS</w:t>
            </w:r>
            <w:proofErr w:type="spellEnd"/>
            <w:r w:rsidR="004D2C9A" w:rsidRPr="00C60EC6">
              <w:rPr>
                <w:rFonts w:ascii="Arial" w:hAnsi="Arial" w:cs="Arial"/>
                <w:color w:val="000000"/>
                <w:kern w:val="24"/>
              </w:rPr>
              <w:t xml:space="preserve"> (this is a software tool to analyse data).</w:t>
            </w:r>
          </w:p>
        </w:tc>
        <w:tc>
          <w:tcPr>
            <w:tcW w:w="2835" w:type="dxa"/>
            <w:shd w:val="clear" w:color="auto" w:fill="auto"/>
            <w:tcMar>
              <w:top w:w="15" w:type="dxa"/>
              <w:left w:w="108" w:type="dxa"/>
              <w:bottom w:w="0" w:type="dxa"/>
              <w:right w:w="108" w:type="dxa"/>
            </w:tcMar>
            <w:hideMark/>
          </w:tcPr>
          <w:p w14:paraId="02B2BD21" w14:textId="5A3D771B" w:rsidR="002055EC" w:rsidRPr="00C60EC6" w:rsidRDefault="00C25523" w:rsidP="002055EC">
            <w:pPr>
              <w:rPr>
                <w:rFonts w:ascii="Arial" w:hAnsi="Arial" w:cs="Arial"/>
              </w:rPr>
            </w:pPr>
            <w:r w:rsidRPr="00C60EC6">
              <w:rPr>
                <w:rFonts w:ascii="Arial" w:hAnsi="Arial" w:cs="Arial"/>
                <w:color w:val="000000"/>
                <w:kern w:val="24"/>
              </w:rPr>
              <w:t xml:space="preserve">All time periods excluding </w:t>
            </w:r>
            <w:r w:rsidR="00FA12C7" w:rsidRPr="00C60EC6">
              <w:rPr>
                <w:rFonts w:ascii="Arial" w:hAnsi="Arial" w:cs="Arial"/>
                <w:color w:val="000000"/>
                <w:kern w:val="24"/>
              </w:rPr>
              <w:t xml:space="preserve">year ending </w:t>
            </w:r>
            <w:r w:rsidRPr="00C60EC6">
              <w:rPr>
                <w:rFonts w:ascii="Arial" w:hAnsi="Arial" w:cs="Arial"/>
                <w:color w:val="000000"/>
                <w:kern w:val="24"/>
              </w:rPr>
              <w:t xml:space="preserve">June 2020 to </w:t>
            </w:r>
            <w:r w:rsidR="00FA12C7" w:rsidRPr="00C60EC6">
              <w:rPr>
                <w:rFonts w:ascii="Arial" w:hAnsi="Arial" w:cs="Arial"/>
                <w:color w:val="000000"/>
                <w:kern w:val="24"/>
              </w:rPr>
              <w:t>year ending</w:t>
            </w:r>
            <w:r w:rsidRPr="00C60EC6">
              <w:rPr>
                <w:rFonts w:ascii="Arial" w:hAnsi="Arial" w:cs="Arial"/>
                <w:color w:val="000000"/>
                <w:kern w:val="24"/>
              </w:rPr>
              <w:t xml:space="preserve"> September 2023 inclusive.</w:t>
            </w:r>
          </w:p>
        </w:tc>
      </w:tr>
      <w:tr w:rsidR="002055EC" w:rsidRPr="004C3673" w14:paraId="6FC9A5A8" w14:textId="77777777" w:rsidTr="0053699F">
        <w:trPr>
          <w:trHeight w:val="584"/>
        </w:trPr>
        <w:tc>
          <w:tcPr>
            <w:tcW w:w="2263" w:type="dxa"/>
            <w:shd w:val="clear" w:color="auto" w:fill="auto"/>
            <w:tcMar>
              <w:top w:w="15" w:type="dxa"/>
              <w:left w:w="108" w:type="dxa"/>
              <w:bottom w:w="0" w:type="dxa"/>
              <w:right w:w="108" w:type="dxa"/>
            </w:tcMar>
            <w:hideMark/>
          </w:tcPr>
          <w:p w14:paraId="583BB637" w14:textId="634F5095" w:rsidR="002055EC" w:rsidRPr="00C60EC6" w:rsidRDefault="002055EC" w:rsidP="002055EC">
            <w:pPr>
              <w:rPr>
                <w:rFonts w:ascii="Arial" w:hAnsi="Arial" w:cs="Arial"/>
              </w:rPr>
            </w:pPr>
            <w:r w:rsidRPr="00C60EC6">
              <w:rPr>
                <w:rFonts w:ascii="Arial" w:hAnsi="Arial" w:cs="Arial"/>
                <w:color w:val="000000"/>
                <w:kern w:val="24"/>
              </w:rPr>
              <w:t>International overnight</w:t>
            </w:r>
          </w:p>
        </w:tc>
        <w:tc>
          <w:tcPr>
            <w:tcW w:w="2737" w:type="dxa"/>
            <w:shd w:val="clear" w:color="auto" w:fill="auto"/>
            <w:tcMar>
              <w:top w:w="15" w:type="dxa"/>
              <w:left w:w="108" w:type="dxa"/>
              <w:bottom w:w="0" w:type="dxa"/>
              <w:right w:w="108" w:type="dxa"/>
            </w:tcMar>
            <w:hideMark/>
          </w:tcPr>
          <w:p w14:paraId="05CA34B3" w14:textId="239FD5AD" w:rsidR="002055EC" w:rsidRPr="00C60EC6" w:rsidRDefault="00FA12C7" w:rsidP="002055EC">
            <w:pPr>
              <w:rPr>
                <w:rFonts w:ascii="Arial" w:hAnsi="Arial" w:cs="Arial"/>
              </w:rPr>
            </w:pPr>
            <w:r w:rsidRPr="00C60EC6">
              <w:rPr>
                <w:rFonts w:ascii="Arial" w:hAnsi="Arial" w:cs="Arial"/>
                <w:color w:val="000000"/>
                <w:kern w:val="24"/>
              </w:rPr>
              <w:t>Not publishable</w:t>
            </w:r>
            <w:r w:rsidR="002055EC" w:rsidRPr="00C60EC6">
              <w:rPr>
                <w:rFonts w:ascii="Arial" w:hAnsi="Arial" w:cs="Arial"/>
                <w:color w:val="000000"/>
                <w:kern w:val="24"/>
              </w:rPr>
              <w:t xml:space="preserve"> below state level</w:t>
            </w:r>
          </w:p>
        </w:tc>
        <w:tc>
          <w:tcPr>
            <w:tcW w:w="2083" w:type="dxa"/>
            <w:shd w:val="clear" w:color="auto" w:fill="auto"/>
            <w:tcMar>
              <w:top w:w="15" w:type="dxa"/>
              <w:left w:w="108" w:type="dxa"/>
              <w:bottom w:w="0" w:type="dxa"/>
              <w:right w:w="108" w:type="dxa"/>
            </w:tcMar>
            <w:hideMark/>
          </w:tcPr>
          <w:p w14:paraId="39546CE7" w14:textId="6907651B" w:rsidR="002055EC" w:rsidRPr="00C60EC6" w:rsidRDefault="002055EC" w:rsidP="002055EC">
            <w:pPr>
              <w:rPr>
                <w:rFonts w:ascii="Arial" w:hAnsi="Arial" w:cs="Arial"/>
              </w:rPr>
            </w:pPr>
            <w:r w:rsidRPr="00C60EC6">
              <w:rPr>
                <w:rFonts w:ascii="Arial" w:hAnsi="Arial" w:cs="Arial"/>
                <w:color w:val="000000"/>
                <w:kern w:val="24"/>
              </w:rPr>
              <w:t> </w:t>
            </w:r>
            <w:r w:rsidR="00A90633" w:rsidRPr="00C60EC6">
              <w:rPr>
                <w:rFonts w:ascii="Arial" w:hAnsi="Arial" w:cs="Arial"/>
              </w:rPr>
              <w:t>Not applicable</w:t>
            </w:r>
          </w:p>
        </w:tc>
        <w:tc>
          <w:tcPr>
            <w:tcW w:w="2835" w:type="dxa"/>
            <w:shd w:val="clear" w:color="auto" w:fill="auto"/>
            <w:tcMar>
              <w:top w:w="15" w:type="dxa"/>
              <w:left w:w="108" w:type="dxa"/>
              <w:bottom w:w="0" w:type="dxa"/>
              <w:right w:w="108" w:type="dxa"/>
            </w:tcMar>
            <w:hideMark/>
          </w:tcPr>
          <w:p w14:paraId="76E2A465" w14:textId="6D05A516" w:rsidR="002055EC" w:rsidRPr="00C60EC6" w:rsidRDefault="00FA12C7" w:rsidP="002055EC">
            <w:pPr>
              <w:rPr>
                <w:rFonts w:ascii="Arial" w:hAnsi="Arial" w:cs="Arial"/>
              </w:rPr>
            </w:pPr>
            <w:r w:rsidRPr="00C60EC6">
              <w:rPr>
                <w:rFonts w:ascii="Arial" w:hAnsi="Arial" w:cs="Arial"/>
                <w:color w:val="000000"/>
                <w:kern w:val="24"/>
              </w:rPr>
              <w:t xml:space="preserve">Year ending </w:t>
            </w:r>
            <w:r w:rsidR="0012094A" w:rsidRPr="00C60EC6">
              <w:rPr>
                <w:rFonts w:ascii="Arial" w:hAnsi="Arial" w:cs="Arial"/>
                <w:color w:val="000000"/>
                <w:kern w:val="24"/>
              </w:rPr>
              <w:t xml:space="preserve">June 2020 – </w:t>
            </w:r>
            <w:r w:rsidR="0012094A" w:rsidRPr="00C60EC6">
              <w:rPr>
                <w:rFonts w:ascii="Arial" w:hAnsi="Arial" w:cs="Arial"/>
                <w:color w:val="000000"/>
                <w:kern w:val="24"/>
              </w:rPr>
              <w:br/>
            </w:r>
            <w:r w:rsidRPr="00C60EC6">
              <w:rPr>
                <w:rFonts w:ascii="Arial" w:hAnsi="Arial" w:cs="Arial"/>
                <w:color w:val="000000"/>
                <w:kern w:val="24"/>
              </w:rPr>
              <w:t>year ending</w:t>
            </w:r>
            <w:r w:rsidR="0012094A" w:rsidRPr="00C60EC6">
              <w:rPr>
                <w:rFonts w:ascii="Arial" w:hAnsi="Arial" w:cs="Arial"/>
                <w:color w:val="000000"/>
                <w:kern w:val="24"/>
              </w:rPr>
              <w:t xml:space="preserve"> September 2023 inclusive</w:t>
            </w:r>
          </w:p>
        </w:tc>
      </w:tr>
      <w:tr w:rsidR="00352A73" w:rsidRPr="004C3673" w14:paraId="6295B820" w14:textId="77777777" w:rsidTr="001353B8">
        <w:trPr>
          <w:trHeight w:val="584"/>
        </w:trPr>
        <w:tc>
          <w:tcPr>
            <w:tcW w:w="2263" w:type="dxa"/>
            <w:shd w:val="clear" w:color="auto" w:fill="auto"/>
            <w:tcMar>
              <w:top w:w="15" w:type="dxa"/>
              <w:left w:w="108" w:type="dxa"/>
              <w:bottom w:w="0" w:type="dxa"/>
              <w:right w:w="108" w:type="dxa"/>
            </w:tcMar>
          </w:tcPr>
          <w:p w14:paraId="48D78F74" w14:textId="1A2F79B7" w:rsidR="00352A73" w:rsidRPr="002234E9" w:rsidRDefault="00352A73" w:rsidP="001353B8">
            <w:pPr>
              <w:rPr>
                <w:rFonts w:ascii="Arial" w:hAnsi="Arial" w:cs="Arial"/>
                <w:color w:val="000000"/>
                <w:kern w:val="24"/>
              </w:rPr>
            </w:pPr>
            <w:r w:rsidRPr="002234E9">
              <w:rPr>
                <w:rFonts w:ascii="Arial" w:hAnsi="Arial" w:cs="Arial"/>
                <w:color w:val="000000"/>
                <w:kern w:val="24"/>
              </w:rPr>
              <w:t xml:space="preserve">International </w:t>
            </w:r>
            <w:r w:rsidR="00932B31" w:rsidRPr="002234E9">
              <w:rPr>
                <w:rFonts w:ascii="Arial" w:hAnsi="Arial" w:cs="Arial"/>
                <w:color w:val="000000"/>
                <w:kern w:val="24"/>
              </w:rPr>
              <w:t>overnight</w:t>
            </w:r>
            <w:r w:rsidRPr="002234E9">
              <w:rPr>
                <w:rFonts w:ascii="Arial" w:hAnsi="Arial" w:cs="Arial"/>
                <w:color w:val="000000"/>
                <w:kern w:val="24"/>
              </w:rPr>
              <w:t xml:space="preserve"> cross-classifications</w:t>
            </w:r>
          </w:p>
        </w:tc>
        <w:tc>
          <w:tcPr>
            <w:tcW w:w="2737" w:type="dxa"/>
            <w:shd w:val="clear" w:color="auto" w:fill="auto"/>
            <w:tcMar>
              <w:top w:w="15" w:type="dxa"/>
              <w:left w:w="108" w:type="dxa"/>
              <w:bottom w:w="0" w:type="dxa"/>
              <w:right w:w="108" w:type="dxa"/>
            </w:tcMar>
          </w:tcPr>
          <w:p w14:paraId="10A7386C" w14:textId="77777777" w:rsidR="00352A73" w:rsidRPr="002234E9" w:rsidRDefault="00352A73" w:rsidP="001353B8">
            <w:pPr>
              <w:rPr>
                <w:rFonts w:ascii="Arial" w:hAnsi="Arial" w:cs="Arial"/>
                <w:color w:val="000000"/>
                <w:kern w:val="24"/>
              </w:rPr>
            </w:pPr>
            <w:r w:rsidRPr="002234E9">
              <w:rPr>
                <w:rFonts w:ascii="Arial" w:hAnsi="Arial" w:cs="Arial"/>
                <w:color w:val="000000"/>
                <w:kern w:val="24"/>
              </w:rPr>
              <w:t>Sample 40+ (&gt;39)</w:t>
            </w:r>
          </w:p>
        </w:tc>
        <w:tc>
          <w:tcPr>
            <w:tcW w:w="2083" w:type="dxa"/>
            <w:shd w:val="clear" w:color="auto" w:fill="auto"/>
            <w:tcMar>
              <w:top w:w="15" w:type="dxa"/>
              <w:left w:w="108" w:type="dxa"/>
              <w:bottom w:w="0" w:type="dxa"/>
              <w:right w:w="108" w:type="dxa"/>
            </w:tcMar>
          </w:tcPr>
          <w:p w14:paraId="7A2C548F" w14:textId="7AA53FCA" w:rsidR="00352A73" w:rsidRPr="002234E9" w:rsidRDefault="0008003A" w:rsidP="001353B8">
            <w:pPr>
              <w:rPr>
                <w:rFonts w:ascii="Arial" w:hAnsi="Arial" w:cs="Arial"/>
                <w:color w:val="000000"/>
                <w:kern w:val="24"/>
              </w:rPr>
            </w:pPr>
            <w:r w:rsidRPr="002234E9">
              <w:rPr>
                <w:rFonts w:ascii="Arial" w:hAnsi="Arial" w:cs="Arial"/>
                <w:color w:val="000000"/>
                <w:kern w:val="24"/>
              </w:rPr>
              <w:t>Non-publish</w:t>
            </w:r>
            <w:r w:rsidR="00FA12C7" w:rsidRPr="002234E9">
              <w:rPr>
                <w:rFonts w:ascii="Arial" w:hAnsi="Arial" w:cs="Arial"/>
                <w:color w:val="000000"/>
                <w:kern w:val="24"/>
              </w:rPr>
              <w:t>able</w:t>
            </w:r>
            <w:r w:rsidRPr="002234E9">
              <w:rPr>
                <w:rFonts w:ascii="Arial" w:hAnsi="Arial" w:cs="Arial"/>
                <w:color w:val="000000"/>
                <w:kern w:val="24"/>
              </w:rPr>
              <w:t xml:space="preserve"> below state level for </w:t>
            </w:r>
            <w:r w:rsidR="00FA12C7" w:rsidRPr="002234E9">
              <w:rPr>
                <w:rFonts w:ascii="Arial" w:hAnsi="Arial" w:cs="Arial"/>
                <w:color w:val="000000"/>
                <w:kern w:val="24"/>
              </w:rPr>
              <w:t xml:space="preserve">year ending </w:t>
            </w:r>
            <w:r w:rsidRPr="002234E9">
              <w:rPr>
                <w:rFonts w:ascii="Arial" w:hAnsi="Arial" w:cs="Arial"/>
                <w:color w:val="000000"/>
                <w:kern w:val="24"/>
              </w:rPr>
              <w:t xml:space="preserve">June 2020 – </w:t>
            </w:r>
            <w:r w:rsidR="00FA12C7" w:rsidRPr="002234E9">
              <w:rPr>
                <w:rFonts w:ascii="Arial" w:hAnsi="Arial" w:cs="Arial"/>
                <w:color w:val="000000"/>
                <w:kern w:val="24"/>
              </w:rPr>
              <w:t xml:space="preserve">year ending </w:t>
            </w:r>
            <w:r w:rsidRPr="002234E9">
              <w:rPr>
                <w:rFonts w:ascii="Arial" w:hAnsi="Arial" w:cs="Arial"/>
                <w:color w:val="000000"/>
                <w:kern w:val="24"/>
              </w:rPr>
              <w:t xml:space="preserve">September 2023 except for </w:t>
            </w:r>
            <w:r w:rsidR="00FA12C7" w:rsidRPr="002234E9">
              <w:rPr>
                <w:rFonts w:ascii="Arial" w:hAnsi="Arial" w:cs="Arial"/>
                <w:color w:val="000000"/>
                <w:kern w:val="24"/>
              </w:rPr>
              <w:t>s</w:t>
            </w:r>
            <w:r w:rsidRPr="002234E9">
              <w:rPr>
                <w:rFonts w:ascii="Arial" w:hAnsi="Arial" w:cs="Arial"/>
                <w:color w:val="000000"/>
                <w:kern w:val="24"/>
              </w:rPr>
              <w:t xml:space="preserve">tate by </w:t>
            </w:r>
            <w:r w:rsidR="00FA12C7" w:rsidRPr="002234E9">
              <w:rPr>
                <w:rFonts w:ascii="Arial" w:hAnsi="Arial" w:cs="Arial"/>
                <w:color w:val="000000"/>
                <w:kern w:val="24"/>
              </w:rPr>
              <w:t>m</w:t>
            </w:r>
            <w:r w:rsidRPr="002234E9">
              <w:rPr>
                <w:rFonts w:ascii="Arial" w:hAnsi="Arial" w:cs="Arial"/>
                <w:color w:val="000000"/>
                <w:kern w:val="24"/>
              </w:rPr>
              <w:t>arket.</w:t>
            </w:r>
          </w:p>
        </w:tc>
        <w:tc>
          <w:tcPr>
            <w:tcW w:w="2835" w:type="dxa"/>
            <w:shd w:val="clear" w:color="auto" w:fill="auto"/>
            <w:tcMar>
              <w:top w:w="15" w:type="dxa"/>
              <w:left w:w="108" w:type="dxa"/>
              <w:bottom w:w="0" w:type="dxa"/>
              <w:right w:w="108" w:type="dxa"/>
            </w:tcMar>
          </w:tcPr>
          <w:p w14:paraId="076117D8" w14:textId="77777777" w:rsidR="0008003A" w:rsidRPr="002234E9" w:rsidRDefault="0008003A" w:rsidP="0008003A">
            <w:pPr>
              <w:rPr>
                <w:rFonts w:ascii="Arial" w:hAnsi="Arial" w:cs="Arial"/>
                <w:color w:val="000000"/>
                <w:kern w:val="24"/>
              </w:rPr>
            </w:pPr>
            <w:r w:rsidRPr="002234E9">
              <w:rPr>
                <w:rFonts w:ascii="Arial" w:hAnsi="Arial" w:cs="Arial"/>
                <w:color w:val="000000"/>
                <w:kern w:val="24"/>
              </w:rPr>
              <w:t>All time periods.</w:t>
            </w:r>
          </w:p>
          <w:p w14:paraId="11B4DD2D" w14:textId="3EB1137B" w:rsidR="00352A73" w:rsidRPr="002234E9" w:rsidRDefault="0008003A" w:rsidP="0008003A">
            <w:pPr>
              <w:rPr>
                <w:rFonts w:ascii="Arial" w:hAnsi="Arial" w:cs="Arial"/>
                <w:color w:val="000000"/>
                <w:kern w:val="24"/>
              </w:rPr>
            </w:pPr>
            <w:r w:rsidRPr="002234E9">
              <w:rPr>
                <w:rFonts w:ascii="Arial" w:hAnsi="Arial" w:cs="Arial"/>
                <w:color w:val="000000"/>
                <w:kern w:val="24"/>
              </w:rPr>
              <w:t xml:space="preserve">Note the only cross-classification that is publishable between </w:t>
            </w:r>
            <w:r w:rsidR="00C60EC6" w:rsidRPr="002234E9">
              <w:rPr>
                <w:rFonts w:ascii="Arial" w:hAnsi="Arial" w:cs="Arial"/>
                <w:color w:val="000000"/>
                <w:kern w:val="24"/>
              </w:rPr>
              <w:t xml:space="preserve">year ending </w:t>
            </w:r>
            <w:r w:rsidRPr="002234E9">
              <w:rPr>
                <w:rFonts w:ascii="Arial" w:hAnsi="Arial" w:cs="Arial"/>
                <w:color w:val="000000"/>
                <w:kern w:val="24"/>
              </w:rPr>
              <w:t xml:space="preserve">June 2020 – </w:t>
            </w:r>
            <w:r w:rsidR="002234E9">
              <w:rPr>
                <w:rFonts w:ascii="Arial" w:hAnsi="Arial" w:cs="Arial"/>
                <w:color w:val="000000"/>
                <w:kern w:val="24"/>
              </w:rPr>
              <w:t xml:space="preserve">year ending </w:t>
            </w:r>
            <w:r w:rsidRPr="002234E9">
              <w:rPr>
                <w:rFonts w:ascii="Arial" w:hAnsi="Arial" w:cs="Arial"/>
                <w:color w:val="000000"/>
                <w:kern w:val="24"/>
              </w:rPr>
              <w:t xml:space="preserve">September 2023 inclusive is </w:t>
            </w:r>
            <w:r w:rsidR="005A142E" w:rsidRPr="002234E9">
              <w:rPr>
                <w:rFonts w:ascii="Arial" w:hAnsi="Arial" w:cs="Arial"/>
                <w:color w:val="000000"/>
                <w:kern w:val="24"/>
              </w:rPr>
              <w:t>s</w:t>
            </w:r>
            <w:r w:rsidRPr="002234E9">
              <w:rPr>
                <w:rFonts w:ascii="Arial" w:hAnsi="Arial" w:cs="Arial"/>
                <w:color w:val="000000"/>
                <w:kern w:val="24"/>
              </w:rPr>
              <w:t xml:space="preserve">tate by </w:t>
            </w:r>
            <w:r w:rsidR="005A142E" w:rsidRPr="002234E9">
              <w:rPr>
                <w:rFonts w:ascii="Arial" w:hAnsi="Arial" w:cs="Arial"/>
                <w:color w:val="000000"/>
                <w:kern w:val="24"/>
              </w:rPr>
              <w:t>m</w:t>
            </w:r>
            <w:r w:rsidRPr="002234E9">
              <w:rPr>
                <w:rFonts w:ascii="Arial" w:hAnsi="Arial" w:cs="Arial"/>
                <w:color w:val="000000"/>
                <w:kern w:val="24"/>
              </w:rPr>
              <w:t>arket.</w:t>
            </w:r>
          </w:p>
        </w:tc>
      </w:tr>
    </w:tbl>
    <w:p w14:paraId="516938CC" w14:textId="77777777" w:rsidR="009C1C3C" w:rsidRPr="004C3673" w:rsidRDefault="009C1C3C" w:rsidP="009C1C3C">
      <w:pPr>
        <w:spacing w:before="120" w:after="120"/>
        <w:rPr>
          <w:rFonts w:ascii="Arial" w:hAnsi="Arial" w:cs="Arial"/>
        </w:rPr>
      </w:pPr>
      <w:r w:rsidRPr="004C3673">
        <w:rPr>
          <w:rFonts w:ascii="Arial" w:hAnsi="Arial" w:cs="Arial"/>
        </w:rPr>
        <w:t>To note: Cross classification refers to when measures are crossed tabulated with one or more variables e.g., analysis of spend x purpose.</w:t>
      </w:r>
    </w:p>
    <w:p w14:paraId="4CB4C419" w14:textId="77777777" w:rsidR="009C1C3C" w:rsidRDefault="009C1C3C" w:rsidP="009C1C3C">
      <w:pPr>
        <w:spacing w:before="120" w:after="120"/>
        <w:rPr>
          <w:rFonts w:ascii="Arial" w:hAnsi="Arial" w:cs="Arial"/>
        </w:rPr>
      </w:pPr>
      <w:r w:rsidRPr="004C3673">
        <w:rPr>
          <w:rFonts w:ascii="Arial" w:hAnsi="Arial" w:cs="Arial"/>
        </w:rPr>
        <w:t>Local Government Area (LGA) data:  TRA does not recommend publishing LGA data unless additional analysis is undertaken to confirm the quality of the dataset. Four-year averages can be used to reduce volatility.</w:t>
      </w:r>
    </w:p>
    <w:p w14:paraId="25B5091C" w14:textId="77777777" w:rsidR="009A7271" w:rsidRPr="009A7271" w:rsidRDefault="009A7271" w:rsidP="009C1C3C">
      <w:pPr>
        <w:spacing w:before="120" w:after="120"/>
        <w:rPr>
          <w:rFonts w:ascii="Arial" w:hAnsi="Arial" w:cs="Arial"/>
          <w:sz w:val="8"/>
          <w:szCs w:val="8"/>
        </w:rPr>
      </w:pPr>
    </w:p>
    <w:p w14:paraId="7D67AABC" w14:textId="16D4528C" w:rsidR="00062D13" w:rsidRPr="00D004F6" w:rsidRDefault="00AB2377" w:rsidP="00511DA1">
      <w:pPr>
        <w:pStyle w:val="Heading2"/>
        <w:rPr>
          <w:rFonts w:ascii="Arial" w:hAnsi="Arial" w:cs="Arial"/>
          <w:color w:val="002060"/>
        </w:rPr>
      </w:pPr>
      <w:bookmarkStart w:id="32" w:name="_Toc167188605"/>
      <w:r w:rsidRPr="00D004F6">
        <w:rPr>
          <w:rFonts w:ascii="Arial" w:hAnsi="Arial" w:cs="Arial"/>
          <w:color w:val="002060"/>
        </w:rPr>
        <w:t xml:space="preserve">3.4 </w:t>
      </w:r>
      <w:r w:rsidR="00062D13" w:rsidRPr="00D004F6">
        <w:rPr>
          <w:rFonts w:ascii="Arial" w:hAnsi="Arial" w:cs="Arial"/>
          <w:color w:val="002060"/>
        </w:rPr>
        <w:t>Data limitations of the IVS</w:t>
      </w:r>
      <w:bookmarkEnd w:id="32"/>
    </w:p>
    <w:p w14:paraId="68215EDD" w14:textId="7ABAB504" w:rsidR="00062D13" w:rsidRPr="004C3673" w:rsidRDefault="00062D13" w:rsidP="00062D13">
      <w:pPr>
        <w:rPr>
          <w:rFonts w:ascii="Arial" w:hAnsi="Arial" w:cs="Arial"/>
        </w:rPr>
      </w:pPr>
      <w:r w:rsidRPr="004C3673">
        <w:rPr>
          <w:rFonts w:ascii="Arial" w:hAnsi="Arial" w:cs="Arial"/>
        </w:rPr>
        <w:t>Typical estimates produced as part of the IVS survey process are based on a sample, rather than a census. As such, the results are subject to sampling variability.</w:t>
      </w:r>
    </w:p>
    <w:p w14:paraId="63413952" w14:textId="71991437" w:rsidR="00062D13" w:rsidRPr="004C3673" w:rsidRDefault="00062D13" w:rsidP="00062D13">
      <w:pPr>
        <w:rPr>
          <w:rFonts w:ascii="Arial" w:hAnsi="Arial" w:cs="Arial"/>
        </w:rPr>
      </w:pPr>
      <w:r w:rsidRPr="004C3673">
        <w:rPr>
          <w:rFonts w:ascii="Arial" w:hAnsi="Arial" w:cs="Arial"/>
        </w:rPr>
        <w:t xml:space="preserve">For further information on the IVS methodology, including a timeline of recent changes, visit </w:t>
      </w:r>
      <w:hyperlink r:id="rId16" w:history="1">
        <w:r w:rsidRPr="004C3673">
          <w:rPr>
            <w:rStyle w:val="Hyperlink"/>
            <w:rFonts w:ascii="Arial" w:hAnsi="Arial" w:cs="Arial"/>
          </w:rPr>
          <w:t>Tourism Research Australia.</w:t>
        </w:r>
      </w:hyperlink>
    </w:p>
    <w:p w14:paraId="5A6103B9" w14:textId="485D8E34" w:rsidR="004229B5" w:rsidRPr="00D004F6" w:rsidRDefault="004229B5" w:rsidP="00BE1D31">
      <w:pPr>
        <w:pStyle w:val="Heading1"/>
        <w:numPr>
          <w:ilvl w:val="0"/>
          <w:numId w:val="10"/>
        </w:numPr>
        <w:rPr>
          <w:rFonts w:ascii="Arial" w:hAnsi="Arial" w:cs="Arial"/>
          <w:color w:val="002060"/>
        </w:rPr>
      </w:pPr>
      <w:bookmarkStart w:id="33" w:name="_Toc167188606"/>
      <w:r w:rsidRPr="00D004F6">
        <w:rPr>
          <w:rFonts w:ascii="Arial" w:hAnsi="Arial" w:cs="Arial"/>
          <w:color w:val="002060"/>
        </w:rPr>
        <w:lastRenderedPageBreak/>
        <w:t xml:space="preserve">Overseas </w:t>
      </w:r>
      <w:r w:rsidR="00317713" w:rsidRPr="00D004F6">
        <w:rPr>
          <w:rFonts w:ascii="Arial" w:hAnsi="Arial" w:cs="Arial"/>
          <w:color w:val="002060"/>
        </w:rPr>
        <w:t>a</w:t>
      </w:r>
      <w:r w:rsidRPr="00D004F6">
        <w:rPr>
          <w:rFonts w:ascii="Arial" w:hAnsi="Arial" w:cs="Arial"/>
          <w:color w:val="002060"/>
        </w:rPr>
        <w:t xml:space="preserve">rrivals and </w:t>
      </w:r>
      <w:r w:rsidR="00317713" w:rsidRPr="00D004F6">
        <w:rPr>
          <w:rFonts w:ascii="Arial" w:hAnsi="Arial" w:cs="Arial"/>
          <w:color w:val="002060"/>
        </w:rPr>
        <w:t>d</w:t>
      </w:r>
      <w:r w:rsidRPr="00D004F6">
        <w:rPr>
          <w:rFonts w:ascii="Arial" w:hAnsi="Arial" w:cs="Arial"/>
          <w:color w:val="002060"/>
        </w:rPr>
        <w:t>epartures (OAD)</w:t>
      </w:r>
      <w:bookmarkEnd w:id="33"/>
    </w:p>
    <w:p w14:paraId="543A63AC" w14:textId="120C6B33" w:rsidR="004229B5" w:rsidRPr="004C3673" w:rsidRDefault="004229B5" w:rsidP="001A2FE1">
      <w:pPr>
        <w:spacing w:before="240" w:after="240"/>
        <w:rPr>
          <w:rFonts w:ascii="Arial" w:hAnsi="Arial" w:cs="Arial"/>
        </w:rPr>
      </w:pPr>
      <w:r w:rsidRPr="004C3673">
        <w:rPr>
          <w:rFonts w:ascii="Arial" w:hAnsi="Arial" w:cs="Arial"/>
        </w:rPr>
        <w:t>The OAD is produced monthly by the Australian Bureau of Statistics (ABS). Data is mainly compiled using information from the Department of Home Affairs (</w:t>
      </w:r>
      <w:r w:rsidR="00914D2E" w:rsidRPr="004C3673">
        <w:rPr>
          <w:rFonts w:ascii="Arial" w:hAnsi="Arial" w:cs="Arial"/>
        </w:rPr>
        <w:t>D</w:t>
      </w:r>
      <w:r w:rsidRPr="004C3673">
        <w:rPr>
          <w:rFonts w:ascii="Arial" w:hAnsi="Arial" w:cs="Arial"/>
        </w:rPr>
        <w:t xml:space="preserve">HA) sources including processing systems, passport documents, visa information and incoming passenger cards. </w:t>
      </w:r>
    </w:p>
    <w:p w14:paraId="5F0E9872" w14:textId="4F946B97" w:rsidR="004229B5" w:rsidRPr="004C3673" w:rsidRDefault="004229B5" w:rsidP="001A2FE1">
      <w:pPr>
        <w:spacing w:before="240" w:after="240"/>
        <w:rPr>
          <w:rFonts w:ascii="Arial" w:hAnsi="Arial" w:cs="Arial"/>
        </w:rPr>
      </w:pPr>
      <w:r w:rsidRPr="004C3673">
        <w:rPr>
          <w:rFonts w:ascii="Arial" w:hAnsi="Arial" w:cs="Arial"/>
        </w:rPr>
        <w:t xml:space="preserve">The focus of the OAD is to provide information and analysis of short-term movements (i.e., less than one year), </w:t>
      </w:r>
      <w:r w:rsidR="00E15970" w:rsidRPr="004C3673">
        <w:rPr>
          <w:rFonts w:ascii="Arial" w:hAnsi="Arial" w:cs="Arial"/>
        </w:rPr>
        <w:t>for</w:t>
      </w:r>
      <w:r w:rsidRPr="004C3673">
        <w:rPr>
          <w:rFonts w:ascii="Arial" w:hAnsi="Arial" w:cs="Arial"/>
        </w:rPr>
        <w:t xml:space="preserve"> short-term visitor arrivals and short-term resident returns</w:t>
      </w:r>
      <w:r w:rsidR="003B0E98" w:rsidRPr="004C3673">
        <w:rPr>
          <w:rFonts w:ascii="Arial" w:hAnsi="Arial" w:cs="Arial"/>
        </w:rPr>
        <w:t>.</w:t>
      </w:r>
      <w:r w:rsidRPr="004C3673">
        <w:rPr>
          <w:rFonts w:ascii="Arial" w:hAnsi="Arial" w:cs="Arial"/>
        </w:rPr>
        <w:t xml:space="preserve"> Statistics on overseas arrivals and departures relate to the number of movements of travellers rather than the number of travellers. Individuals who travel multiple times in a year are counted each time they cross Australia's borders.</w:t>
      </w:r>
    </w:p>
    <w:p w14:paraId="4DFB3AE2" w14:textId="21838ECA" w:rsidR="004229B5" w:rsidRPr="004C3673" w:rsidRDefault="004229B5" w:rsidP="001A2FE1">
      <w:pPr>
        <w:spacing w:before="240" w:after="240"/>
        <w:rPr>
          <w:rFonts w:ascii="Arial" w:hAnsi="Arial" w:cs="Arial"/>
        </w:rPr>
      </w:pPr>
      <w:r w:rsidRPr="004C3673">
        <w:rPr>
          <w:rFonts w:ascii="Arial" w:hAnsi="Arial" w:cs="Arial"/>
        </w:rPr>
        <w:t>OAD results are produced for all travellers.</w:t>
      </w:r>
      <w:r w:rsidR="00D236AE" w:rsidRPr="004C3673">
        <w:rPr>
          <w:rFonts w:ascii="Arial" w:eastAsiaTheme="minorEastAsia" w:hAnsi="Arial" w:cs="Arial"/>
          <w:color w:val="404040" w:themeColor="text1" w:themeTint="BF"/>
          <w:kern w:val="24"/>
        </w:rPr>
        <w:t xml:space="preserve"> </w:t>
      </w:r>
      <w:r w:rsidR="00D236AE" w:rsidRPr="004C3673">
        <w:rPr>
          <w:rFonts w:ascii="Arial" w:hAnsi="Arial" w:cs="Arial"/>
        </w:rPr>
        <w:t>This is different to the IVS and NVS which only measure travellers aged 15 years or more.</w:t>
      </w:r>
    </w:p>
    <w:p w14:paraId="3A0ED867" w14:textId="77777777" w:rsidR="004229B5" w:rsidRPr="004C3673" w:rsidRDefault="004229B5" w:rsidP="001A2FE1">
      <w:pPr>
        <w:spacing w:before="240" w:after="240"/>
        <w:rPr>
          <w:rFonts w:ascii="Arial" w:hAnsi="Arial" w:cs="Arial"/>
        </w:rPr>
      </w:pPr>
      <w:r w:rsidRPr="004C3673">
        <w:rPr>
          <w:rFonts w:ascii="Arial" w:hAnsi="Arial" w:cs="Arial"/>
        </w:rPr>
        <w:t xml:space="preserve">Key metrics captured in the OAD include arrivals by source market and purpose, departures by destination and main state of stay. </w:t>
      </w:r>
    </w:p>
    <w:p w14:paraId="49C51CB5" w14:textId="52E94F14" w:rsidR="00C66016" w:rsidRPr="00D004F6" w:rsidRDefault="00AB2377" w:rsidP="00795E71">
      <w:pPr>
        <w:pStyle w:val="Heading2"/>
        <w:rPr>
          <w:rFonts w:ascii="Arial" w:hAnsi="Arial" w:cs="Arial"/>
          <w:color w:val="002060"/>
        </w:rPr>
      </w:pPr>
      <w:bookmarkStart w:id="34" w:name="_Toc167188607"/>
      <w:r w:rsidRPr="00D004F6">
        <w:rPr>
          <w:rFonts w:ascii="Arial" w:hAnsi="Arial" w:cs="Arial"/>
          <w:color w:val="002060"/>
        </w:rPr>
        <w:t xml:space="preserve">4.1 </w:t>
      </w:r>
      <w:r w:rsidR="00C66016" w:rsidRPr="00D004F6">
        <w:rPr>
          <w:rFonts w:ascii="Arial" w:hAnsi="Arial" w:cs="Arial"/>
          <w:color w:val="002060"/>
        </w:rPr>
        <w:t>Data limitations of the OAD</w:t>
      </w:r>
      <w:bookmarkEnd w:id="34"/>
    </w:p>
    <w:p w14:paraId="498555BF" w14:textId="31DA47D6" w:rsidR="00C66016" w:rsidRPr="004C3673" w:rsidRDefault="00C66016" w:rsidP="00BE1D31">
      <w:pPr>
        <w:pStyle w:val="ListParagraph"/>
        <w:numPr>
          <w:ilvl w:val="0"/>
          <w:numId w:val="1"/>
        </w:numPr>
        <w:spacing w:before="120" w:after="120"/>
        <w:contextualSpacing w:val="0"/>
        <w:rPr>
          <w:rFonts w:ascii="Arial" w:hAnsi="Arial" w:cs="Arial"/>
        </w:rPr>
      </w:pPr>
      <w:r w:rsidRPr="004C3673">
        <w:rPr>
          <w:rFonts w:ascii="Arial" w:hAnsi="Arial" w:cs="Arial"/>
        </w:rPr>
        <w:t xml:space="preserve">The OAD collects data at a national level. Travellers do not nominate </w:t>
      </w:r>
      <w:r w:rsidR="003D7BA1" w:rsidRPr="004C3673">
        <w:rPr>
          <w:rFonts w:ascii="Arial" w:hAnsi="Arial" w:cs="Arial"/>
        </w:rPr>
        <w:t>every</w:t>
      </w:r>
      <w:r w:rsidRPr="004C3673">
        <w:rPr>
          <w:rFonts w:ascii="Arial" w:hAnsi="Arial" w:cs="Arial"/>
        </w:rPr>
        <w:t xml:space="preserve"> state that they visit. As such, detailed results are not available for individual states, except for main state of stay data, which may undercount visitors.</w:t>
      </w:r>
    </w:p>
    <w:p w14:paraId="1B3763AB" w14:textId="46AE657E" w:rsidR="00C66016" w:rsidRPr="004C3673" w:rsidRDefault="00C66016" w:rsidP="00BE1D31">
      <w:pPr>
        <w:pStyle w:val="ListParagraph"/>
        <w:numPr>
          <w:ilvl w:val="0"/>
          <w:numId w:val="1"/>
        </w:numPr>
        <w:spacing w:before="120" w:after="120"/>
        <w:contextualSpacing w:val="0"/>
        <w:rPr>
          <w:rFonts w:ascii="Arial" w:hAnsi="Arial" w:cs="Arial"/>
        </w:rPr>
      </w:pPr>
      <w:r w:rsidRPr="004C3673">
        <w:rPr>
          <w:rFonts w:ascii="Arial" w:hAnsi="Arial" w:cs="Arial"/>
        </w:rPr>
        <w:t xml:space="preserve">The OAD includes a combination of comprehensive data and sampled data. The total number of short-term movements is fully enumerated. However, within that set of movements the characteristics are derived based on a sample of passenger cards. As such, the results broken down by market, purpose and destination are subject to sampling variability. </w:t>
      </w:r>
    </w:p>
    <w:p w14:paraId="36F76473" w14:textId="44F73FB3" w:rsidR="00C66016" w:rsidRPr="004C3673" w:rsidRDefault="00C66016" w:rsidP="00BE1D31">
      <w:pPr>
        <w:pStyle w:val="ListParagraph"/>
        <w:numPr>
          <w:ilvl w:val="0"/>
          <w:numId w:val="1"/>
        </w:numPr>
        <w:spacing w:before="120" w:after="120"/>
        <w:contextualSpacing w:val="0"/>
        <w:rPr>
          <w:rFonts w:ascii="Arial" w:hAnsi="Arial" w:cs="Arial"/>
        </w:rPr>
      </w:pPr>
      <w:r w:rsidRPr="004C3673">
        <w:rPr>
          <w:rFonts w:ascii="Arial" w:hAnsi="Arial" w:cs="Arial"/>
        </w:rPr>
        <w:t>From 1 July 2017, travellers leaving Australia were no longer required to complete an Outgoing Passenger Card</w:t>
      </w:r>
      <w:r w:rsidR="00ED65DE" w:rsidRPr="004C3673">
        <w:rPr>
          <w:rFonts w:ascii="Arial" w:hAnsi="Arial" w:cs="Arial"/>
        </w:rPr>
        <w:t>.</w:t>
      </w:r>
      <w:r w:rsidRPr="004C3673">
        <w:rPr>
          <w:rFonts w:ascii="Arial" w:hAnsi="Arial" w:cs="Arial"/>
        </w:rPr>
        <w:t xml:space="preserve"> This has resulted in a break in series, necessitating a revised time series for OAD data from July 2007 to June 2017 based on the new methodology. </w:t>
      </w:r>
    </w:p>
    <w:p w14:paraId="4BD554A3" w14:textId="77777777" w:rsidR="00C66016" w:rsidRPr="004C3673" w:rsidRDefault="00C66016" w:rsidP="00BE1D31">
      <w:pPr>
        <w:pStyle w:val="ListParagraph"/>
        <w:numPr>
          <w:ilvl w:val="0"/>
          <w:numId w:val="1"/>
        </w:numPr>
        <w:spacing w:before="120" w:after="120"/>
        <w:contextualSpacing w:val="0"/>
        <w:rPr>
          <w:rFonts w:ascii="Arial" w:hAnsi="Arial" w:cs="Arial"/>
        </w:rPr>
      </w:pPr>
      <w:r w:rsidRPr="004C3673">
        <w:rPr>
          <w:rFonts w:ascii="Arial" w:hAnsi="Arial" w:cs="Arial"/>
        </w:rPr>
        <w:t>Data revisions have also impacted some time series (i.e., July 2021 to February 2022); however, inputs to the relevant time periods have been revised in the most recent updates.</w:t>
      </w:r>
    </w:p>
    <w:p w14:paraId="0181E264" w14:textId="18A9834F" w:rsidR="00213F26" w:rsidRPr="004C3673" w:rsidRDefault="00213F26" w:rsidP="00BE1D31">
      <w:pPr>
        <w:numPr>
          <w:ilvl w:val="0"/>
          <w:numId w:val="1"/>
        </w:numPr>
        <w:rPr>
          <w:rFonts w:ascii="Arial" w:hAnsi="Arial" w:cs="Arial"/>
        </w:rPr>
      </w:pPr>
      <w:r w:rsidRPr="004C3673">
        <w:rPr>
          <w:rFonts w:ascii="Arial" w:hAnsi="Arial" w:cs="Arial"/>
        </w:rPr>
        <w:t xml:space="preserve">More detailed information about the OAD, including a history of data changes, is available from the </w:t>
      </w:r>
      <w:hyperlink r:id="rId17" w:history="1">
        <w:r w:rsidRPr="004C3673">
          <w:rPr>
            <w:rStyle w:val="Hyperlink"/>
            <w:rFonts w:ascii="Arial" w:hAnsi="Arial" w:cs="Arial"/>
          </w:rPr>
          <w:t xml:space="preserve">Australian Bureau of Statistics </w:t>
        </w:r>
      </w:hyperlink>
      <w:r w:rsidRPr="004C3673">
        <w:rPr>
          <w:rFonts w:ascii="Arial" w:hAnsi="Arial" w:cs="Arial"/>
        </w:rPr>
        <w:t>.</w:t>
      </w:r>
    </w:p>
    <w:p w14:paraId="5DB9DBDA" w14:textId="77777777" w:rsidR="00C5328C" w:rsidRPr="004C3673" w:rsidRDefault="00C5328C" w:rsidP="00C5328C">
      <w:pPr>
        <w:rPr>
          <w:rFonts w:ascii="Arial" w:hAnsi="Arial" w:cs="Arial"/>
          <w:sz w:val="8"/>
          <w:szCs w:val="8"/>
        </w:rPr>
      </w:pPr>
    </w:p>
    <w:p w14:paraId="6D866719" w14:textId="15E133BE" w:rsidR="008649C2" w:rsidRPr="00D004F6" w:rsidRDefault="008649C2" w:rsidP="00BE1D31">
      <w:pPr>
        <w:pStyle w:val="Heading1"/>
        <w:numPr>
          <w:ilvl w:val="0"/>
          <w:numId w:val="10"/>
        </w:numPr>
        <w:rPr>
          <w:rFonts w:ascii="Arial" w:hAnsi="Arial" w:cs="Arial"/>
          <w:color w:val="002060"/>
        </w:rPr>
      </w:pPr>
      <w:bookmarkStart w:id="35" w:name="_Toc167188608"/>
      <w:r w:rsidRPr="00D004F6">
        <w:rPr>
          <w:rFonts w:ascii="Arial" w:hAnsi="Arial" w:cs="Arial"/>
          <w:color w:val="002060"/>
        </w:rPr>
        <w:t xml:space="preserve">Tourism </w:t>
      </w:r>
      <w:r w:rsidR="00317713" w:rsidRPr="00D004F6">
        <w:rPr>
          <w:rFonts w:ascii="Arial" w:hAnsi="Arial" w:cs="Arial"/>
          <w:color w:val="002060"/>
        </w:rPr>
        <w:t>f</w:t>
      </w:r>
      <w:r w:rsidRPr="00D004F6">
        <w:rPr>
          <w:rFonts w:ascii="Arial" w:hAnsi="Arial" w:cs="Arial"/>
          <w:color w:val="002060"/>
        </w:rPr>
        <w:t>orecasts</w:t>
      </w:r>
      <w:bookmarkEnd w:id="35"/>
      <w:r w:rsidRPr="00D004F6">
        <w:rPr>
          <w:rFonts w:ascii="Arial" w:hAnsi="Arial" w:cs="Arial"/>
          <w:color w:val="002060"/>
        </w:rPr>
        <w:t xml:space="preserve"> </w:t>
      </w:r>
    </w:p>
    <w:p w14:paraId="6601FE93" w14:textId="546B5839" w:rsidR="008649C2" w:rsidRPr="004C3673" w:rsidRDefault="008649C2" w:rsidP="001A2FE1">
      <w:pPr>
        <w:spacing w:before="120" w:after="120"/>
        <w:rPr>
          <w:rFonts w:ascii="Arial" w:hAnsi="Arial" w:cs="Arial"/>
        </w:rPr>
      </w:pPr>
      <w:r w:rsidRPr="004C3673">
        <w:rPr>
          <w:rFonts w:ascii="Arial" w:hAnsi="Arial" w:cs="Arial"/>
        </w:rPr>
        <w:t xml:space="preserve">TRA </w:t>
      </w:r>
      <w:r w:rsidR="00317713" w:rsidRPr="004C3673">
        <w:rPr>
          <w:rFonts w:ascii="Arial" w:hAnsi="Arial" w:cs="Arial"/>
        </w:rPr>
        <w:t>t</w:t>
      </w:r>
      <w:r w:rsidRPr="004C3673">
        <w:rPr>
          <w:rFonts w:ascii="Arial" w:hAnsi="Arial" w:cs="Arial"/>
        </w:rPr>
        <w:t xml:space="preserve">ourism </w:t>
      </w:r>
      <w:r w:rsidR="00317713" w:rsidRPr="004C3673">
        <w:rPr>
          <w:rFonts w:ascii="Arial" w:hAnsi="Arial" w:cs="Arial"/>
        </w:rPr>
        <w:t>f</w:t>
      </w:r>
      <w:r w:rsidRPr="004C3673">
        <w:rPr>
          <w:rFonts w:ascii="Arial" w:hAnsi="Arial" w:cs="Arial"/>
        </w:rPr>
        <w:t xml:space="preserve">orecast provides projections for Australia’s inbound, </w:t>
      </w:r>
      <w:proofErr w:type="gramStart"/>
      <w:r w:rsidRPr="004C3673">
        <w:rPr>
          <w:rFonts w:ascii="Arial" w:hAnsi="Arial" w:cs="Arial"/>
        </w:rPr>
        <w:t>domestic</w:t>
      </w:r>
      <w:proofErr w:type="gramEnd"/>
      <w:r w:rsidRPr="004C3673">
        <w:rPr>
          <w:rFonts w:ascii="Arial" w:hAnsi="Arial" w:cs="Arial"/>
        </w:rPr>
        <w:t xml:space="preserve"> and </w:t>
      </w:r>
      <w:r w:rsidR="00AA3D27" w:rsidRPr="004C3673">
        <w:rPr>
          <w:rFonts w:ascii="Arial" w:hAnsi="Arial" w:cs="Arial"/>
        </w:rPr>
        <w:t>outbound travel</w:t>
      </w:r>
      <w:r w:rsidRPr="004C3673">
        <w:rPr>
          <w:rFonts w:ascii="Arial" w:hAnsi="Arial" w:cs="Arial"/>
        </w:rPr>
        <w:t xml:space="preserve"> sectors. The TRA Forecast (2022-2027) was released in December 2022 with future releases expected annually. </w:t>
      </w:r>
    </w:p>
    <w:p w14:paraId="0BFFF710" w14:textId="77777777" w:rsidR="001A2FE1" w:rsidRPr="004C3673" w:rsidRDefault="008649C2" w:rsidP="001A2FE1">
      <w:pPr>
        <w:spacing w:before="120" w:after="120"/>
        <w:rPr>
          <w:rFonts w:ascii="Arial" w:hAnsi="Arial" w:cs="Arial"/>
        </w:rPr>
      </w:pPr>
      <w:r w:rsidRPr="004C3673">
        <w:rPr>
          <w:rFonts w:ascii="Arial" w:hAnsi="Arial" w:cs="Arial"/>
        </w:rPr>
        <w:t>Key metrics include</w:t>
      </w:r>
      <w:r w:rsidR="001A2FE1" w:rsidRPr="004C3673">
        <w:rPr>
          <w:rFonts w:ascii="Arial" w:hAnsi="Arial" w:cs="Arial"/>
        </w:rPr>
        <w:t>:</w:t>
      </w:r>
    </w:p>
    <w:p w14:paraId="7BF6FDC8" w14:textId="77777777" w:rsidR="001A2FE1" w:rsidRPr="004C3673" w:rsidRDefault="008649C2" w:rsidP="00BE1D31">
      <w:pPr>
        <w:pStyle w:val="ListParagraph"/>
        <w:numPr>
          <w:ilvl w:val="0"/>
          <w:numId w:val="6"/>
        </w:numPr>
        <w:spacing w:before="120" w:after="120"/>
        <w:rPr>
          <w:rFonts w:ascii="Arial" w:hAnsi="Arial" w:cs="Arial"/>
        </w:rPr>
      </w:pPr>
      <w:r w:rsidRPr="004C3673">
        <w:rPr>
          <w:rFonts w:ascii="Arial" w:hAnsi="Arial" w:cs="Arial"/>
        </w:rPr>
        <w:t xml:space="preserve">projections for expenditure (real/nominal) </w:t>
      </w:r>
    </w:p>
    <w:p w14:paraId="32F93E07" w14:textId="77777777" w:rsidR="001A2FE1" w:rsidRPr="004C3673" w:rsidRDefault="008649C2" w:rsidP="00BE1D31">
      <w:pPr>
        <w:pStyle w:val="ListParagraph"/>
        <w:numPr>
          <w:ilvl w:val="0"/>
          <w:numId w:val="6"/>
        </w:numPr>
        <w:spacing w:before="120" w:after="120"/>
        <w:rPr>
          <w:rFonts w:ascii="Arial" w:hAnsi="Arial" w:cs="Arial"/>
        </w:rPr>
      </w:pPr>
      <w:r w:rsidRPr="004C3673">
        <w:rPr>
          <w:rFonts w:ascii="Arial" w:hAnsi="Arial" w:cs="Arial"/>
        </w:rPr>
        <w:t>inbound arrivals by (select) markets and purpose,</w:t>
      </w:r>
    </w:p>
    <w:p w14:paraId="67B28928" w14:textId="77777777" w:rsidR="001A2FE1" w:rsidRPr="004C3673" w:rsidRDefault="008649C2" w:rsidP="00BE1D31">
      <w:pPr>
        <w:pStyle w:val="ListParagraph"/>
        <w:numPr>
          <w:ilvl w:val="0"/>
          <w:numId w:val="6"/>
        </w:numPr>
        <w:spacing w:before="120" w:after="120"/>
        <w:rPr>
          <w:rFonts w:ascii="Arial" w:hAnsi="Arial" w:cs="Arial"/>
        </w:rPr>
      </w:pPr>
      <w:r w:rsidRPr="004C3673">
        <w:rPr>
          <w:rFonts w:ascii="Arial" w:hAnsi="Arial" w:cs="Arial"/>
        </w:rPr>
        <w:t>domestic overnight trips</w:t>
      </w:r>
    </w:p>
    <w:p w14:paraId="49016125" w14:textId="77777777" w:rsidR="001A2FE1" w:rsidRPr="004C3673" w:rsidRDefault="008649C2" w:rsidP="00BE1D31">
      <w:pPr>
        <w:pStyle w:val="ListParagraph"/>
        <w:numPr>
          <w:ilvl w:val="0"/>
          <w:numId w:val="6"/>
        </w:numPr>
        <w:spacing w:before="120" w:after="120"/>
        <w:rPr>
          <w:rFonts w:ascii="Arial" w:hAnsi="Arial" w:cs="Arial"/>
        </w:rPr>
      </w:pPr>
      <w:r w:rsidRPr="004C3673">
        <w:rPr>
          <w:rFonts w:ascii="Arial" w:hAnsi="Arial" w:cs="Arial"/>
        </w:rPr>
        <w:t>domestic daytrips</w:t>
      </w:r>
    </w:p>
    <w:p w14:paraId="5DBCFE87" w14:textId="77777777" w:rsidR="001A2FE1" w:rsidRPr="004C3673" w:rsidRDefault="008649C2" w:rsidP="00BE1D31">
      <w:pPr>
        <w:pStyle w:val="ListParagraph"/>
        <w:numPr>
          <w:ilvl w:val="0"/>
          <w:numId w:val="6"/>
        </w:numPr>
        <w:spacing w:before="120" w:after="120"/>
        <w:rPr>
          <w:rFonts w:ascii="Arial" w:hAnsi="Arial" w:cs="Arial"/>
        </w:rPr>
      </w:pPr>
      <w:r w:rsidRPr="004C3673">
        <w:rPr>
          <w:rFonts w:ascii="Arial" w:hAnsi="Arial" w:cs="Arial"/>
        </w:rPr>
        <w:t xml:space="preserve">domestic visitor nights by purpose </w:t>
      </w:r>
    </w:p>
    <w:p w14:paraId="70C47331" w14:textId="77777777" w:rsidR="001A2FE1" w:rsidRPr="004C3673" w:rsidRDefault="008649C2" w:rsidP="00BE1D31">
      <w:pPr>
        <w:pStyle w:val="ListParagraph"/>
        <w:numPr>
          <w:ilvl w:val="0"/>
          <w:numId w:val="6"/>
        </w:numPr>
        <w:spacing w:before="120" w:after="120"/>
        <w:rPr>
          <w:rFonts w:ascii="Arial" w:hAnsi="Arial" w:cs="Arial"/>
        </w:rPr>
      </w:pPr>
      <w:r w:rsidRPr="004C3673">
        <w:rPr>
          <w:rFonts w:ascii="Arial" w:hAnsi="Arial" w:cs="Arial"/>
        </w:rPr>
        <w:t xml:space="preserve">domestic visitor nights by state </w:t>
      </w:r>
    </w:p>
    <w:p w14:paraId="5475CB55" w14:textId="77777777" w:rsidR="001A2FE1" w:rsidRPr="004C3673" w:rsidRDefault="008649C2" w:rsidP="00BE1D31">
      <w:pPr>
        <w:pStyle w:val="ListParagraph"/>
        <w:numPr>
          <w:ilvl w:val="0"/>
          <w:numId w:val="6"/>
        </w:numPr>
        <w:spacing w:before="120" w:after="120"/>
        <w:rPr>
          <w:rFonts w:ascii="Arial" w:hAnsi="Arial" w:cs="Arial"/>
        </w:rPr>
      </w:pPr>
      <w:r w:rsidRPr="004C3673">
        <w:rPr>
          <w:rFonts w:ascii="Arial" w:hAnsi="Arial" w:cs="Arial"/>
        </w:rPr>
        <w:t>outbound resident departures</w:t>
      </w:r>
      <w:r w:rsidR="00F45AE7" w:rsidRPr="004C3673">
        <w:rPr>
          <w:rFonts w:ascii="Arial" w:hAnsi="Arial" w:cs="Arial"/>
        </w:rPr>
        <w:t>.</w:t>
      </w:r>
      <w:r w:rsidRPr="004C3673">
        <w:rPr>
          <w:rFonts w:ascii="Arial" w:hAnsi="Arial" w:cs="Arial"/>
        </w:rPr>
        <w:t xml:space="preserve"> </w:t>
      </w:r>
    </w:p>
    <w:p w14:paraId="75904057" w14:textId="3B841065" w:rsidR="008649C2" w:rsidRPr="004C3673" w:rsidRDefault="00F45AE7" w:rsidP="001A2FE1">
      <w:pPr>
        <w:spacing w:before="120" w:after="120"/>
        <w:rPr>
          <w:rFonts w:ascii="Arial" w:hAnsi="Arial" w:cs="Arial"/>
        </w:rPr>
      </w:pPr>
      <w:r w:rsidRPr="004C3673">
        <w:rPr>
          <w:rFonts w:ascii="Arial" w:hAnsi="Arial" w:cs="Arial"/>
        </w:rPr>
        <w:t>M</w:t>
      </w:r>
      <w:r w:rsidR="008649C2" w:rsidRPr="004C3673">
        <w:rPr>
          <w:rFonts w:ascii="Arial" w:hAnsi="Arial" w:cs="Arial"/>
        </w:rPr>
        <w:t xml:space="preserve">easures </w:t>
      </w:r>
      <w:r w:rsidRPr="004C3673">
        <w:rPr>
          <w:rFonts w:ascii="Arial" w:hAnsi="Arial" w:cs="Arial"/>
        </w:rPr>
        <w:t>provided</w:t>
      </w:r>
      <w:r w:rsidR="008649C2" w:rsidRPr="004C3673">
        <w:rPr>
          <w:rFonts w:ascii="Arial" w:hAnsi="Arial" w:cs="Arial"/>
        </w:rPr>
        <w:t xml:space="preserve"> may vary by publication.</w:t>
      </w:r>
    </w:p>
    <w:p w14:paraId="5B062EC1" w14:textId="3A1F34F5" w:rsidR="00AA3D27" w:rsidRPr="00D004F6" w:rsidRDefault="00AB2377" w:rsidP="00AA3D27">
      <w:pPr>
        <w:pStyle w:val="Heading2"/>
        <w:rPr>
          <w:rFonts w:ascii="Arial" w:hAnsi="Arial" w:cs="Arial"/>
          <w:color w:val="002060"/>
        </w:rPr>
      </w:pPr>
      <w:bookmarkStart w:id="36" w:name="_Toc167188609"/>
      <w:r w:rsidRPr="00D004F6">
        <w:rPr>
          <w:rFonts w:ascii="Arial" w:hAnsi="Arial" w:cs="Arial"/>
          <w:color w:val="002060"/>
        </w:rPr>
        <w:lastRenderedPageBreak/>
        <w:t xml:space="preserve">5.1 </w:t>
      </w:r>
      <w:r w:rsidR="00AA3D27" w:rsidRPr="00D004F6">
        <w:rPr>
          <w:rFonts w:ascii="Arial" w:hAnsi="Arial" w:cs="Arial"/>
          <w:color w:val="002060"/>
        </w:rPr>
        <w:t xml:space="preserve">Forecast </w:t>
      </w:r>
      <w:r w:rsidR="00317713" w:rsidRPr="00D004F6">
        <w:rPr>
          <w:rFonts w:ascii="Arial" w:hAnsi="Arial" w:cs="Arial"/>
          <w:color w:val="002060"/>
        </w:rPr>
        <w:t>m</w:t>
      </w:r>
      <w:r w:rsidR="00AA3D27" w:rsidRPr="00D004F6">
        <w:rPr>
          <w:rFonts w:ascii="Arial" w:hAnsi="Arial" w:cs="Arial"/>
          <w:color w:val="002060"/>
        </w:rPr>
        <w:t>ethodology</w:t>
      </w:r>
      <w:bookmarkEnd w:id="36"/>
    </w:p>
    <w:p w14:paraId="741FB4FA" w14:textId="77777777" w:rsidR="00A03BAA" w:rsidRPr="00A03BAA" w:rsidRDefault="00A03BAA" w:rsidP="00A03BAA">
      <w:pPr>
        <w:rPr>
          <w:sz w:val="8"/>
          <w:szCs w:val="8"/>
        </w:rPr>
      </w:pPr>
    </w:p>
    <w:p w14:paraId="173C780F" w14:textId="6BDF6482" w:rsidR="00AA3D27" w:rsidRPr="004C3673" w:rsidRDefault="00AA3D27" w:rsidP="001A2FE1">
      <w:pPr>
        <w:rPr>
          <w:rFonts w:ascii="Arial" w:hAnsi="Arial" w:cs="Arial"/>
        </w:rPr>
      </w:pPr>
      <w:r w:rsidRPr="004C3673">
        <w:rPr>
          <w:rFonts w:ascii="Arial" w:hAnsi="Arial" w:cs="Arial"/>
        </w:rPr>
        <w:t>TRA forecasts are produced using a hybrid, evidence-based approach which combines quantitative data-based modelling and expert judgement. This method utilises market intelligence, the best available data and relevant research.</w:t>
      </w:r>
    </w:p>
    <w:p w14:paraId="05D6980B" w14:textId="4B0C39E4" w:rsidR="00AA3D27" w:rsidRPr="004C3673" w:rsidRDefault="00AA3D27" w:rsidP="001A2FE1">
      <w:pPr>
        <w:rPr>
          <w:rFonts w:ascii="Arial" w:hAnsi="Arial" w:cs="Arial"/>
        </w:rPr>
      </w:pPr>
      <w:r w:rsidRPr="004C3673">
        <w:rPr>
          <w:rFonts w:ascii="Arial" w:hAnsi="Arial" w:cs="Arial"/>
        </w:rPr>
        <w:t xml:space="preserve">Tourism </w:t>
      </w:r>
      <w:r w:rsidR="00317713" w:rsidRPr="004C3673">
        <w:rPr>
          <w:rFonts w:ascii="Arial" w:hAnsi="Arial" w:cs="Arial"/>
        </w:rPr>
        <w:t>f</w:t>
      </w:r>
      <w:r w:rsidRPr="004C3673">
        <w:rPr>
          <w:rFonts w:ascii="Arial" w:hAnsi="Arial" w:cs="Arial"/>
        </w:rPr>
        <w:t>orecasts consider market intelligence on a range of variables including global market conditions, consumer price index, exchange rates, current and forecast economic growth in Australia and internationally, as well as supply-side issues such as aviation capacity.</w:t>
      </w:r>
    </w:p>
    <w:p w14:paraId="14938124" w14:textId="7A9775A9" w:rsidR="00AA3D27" w:rsidRPr="004C3673" w:rsidRDefault="00AA3D27" w:rsidP="001A2FE1">
      <w:pPr>
        <w:rPr>
          <w:rFonts w:ascii="Arial" w:hAnsi="Arial" w:cs="Arial"/>
        </w:rPr>
      </w:pPr>
      <w:r w:rsidRPr="004C3673">
        <w:rPr>
          <w:rFonts w:ascii="Arial" w:hAnsi="Arial" w:cs="Arial"/>
        </w:rPr>
        <w:t xml:space="preserve">As part of the forecasting process, Tourism Research Australia (TRA) established the Tourism Forecasting Expert Panel, comprising experts from academia, </w:t>
      </w:r>
      <w:proofErr w:type="gramStart"/>
      <w:r w:rsidRPr="004C3673">
        <w:rPr>
          <w:rFonts w:ascii="Arial" w:hAnsi="Arial" w:cs="Arial"/>
        </w:rPr>
        <w:t>industry</w:t>
      </w:r>
      <w:proofErr w:type="gramEnd"/>
      <w:r w:rsidRPr="004C3673">
        <w:rPr>
          <w:rFonts w:ascii="Arial" w:hAnsi="Arial" w:cs="Arial"/>
        </w:rPr>
        <w:t xml:space="preserve"> and government to review and provide feedback on projections.</w:t>
      </w:r>
    </w:p>
    <w:p w14:paraId="1EC536A7" w14:textId="77777777" w:rsidR="009A7271" w:rsidRPr="009A7271" w:rsidRDefault="009A7271" w:rsidP="009A7271">
      <w:pPr>
        <w:rPr>
          <w:sz w:val="8"/>
          <w:szCs w:val="8"/>
        </w:rPr>
      </w:pPr>
    </w:p>
    <w:p w14:paraId="79CDFCD2" w14:textId="7A88D68B" w:rsidR="00AA3D27" w:rsidRPr="00D004F6" w:rsidRDefault="00AA3D27" w:rsidP="00BE1D31">
      <w:pPr>
        <w:pStyle w:val="Heading2"/>
        <w:numPr>
          <w:ilvl w:val="1"/>
          <w:numId w:val="10"/>
        </w:numPr>
        <w:rPr>
          <w:rFonts w:ascii="Arial" w:hAnsi="Arial" w:cs="Arial"/>
          <w:color w:val="002060"/>
        </w:rPr>
      </w:pPr>
      <w:bookmarkStart w:id="37" w:name="_Toc167188610"/>
      <w:r w:rsidRPr="00D004F6">
        <w:rPr>
          <w:rFonts w:ascii="Arial" w:hAnsi="Arial" w:cs="Arial"/>
          <w:color w:val="002060"/>
        </w:rPr>
        <w:t xml:space="preserve">Data limitations of </w:t>
      </w:r>
      <w:r w:rsidR="00317713" w:rsidRPr="00D004F6">
        <w:rPr>
          <w:rFonts w:ascii="Arial" w:hAnsi="Arial" w:cs="Arial"/>
          <w:color w:val="002060"/>
        </w:rPr>
        <w:t>f</w:t>
      </w:r>
      <w:r w:rsidRPr="00D004F6">
        <w:rPr>
          <w:rFonts w:ascii="Arial" w:hAnsi="Arial" w:cs="Arial"/>
          <w:color w:val="002060"/>
        </w:rPr>
        <w:t>orecast</w:t>
      </w:r>
      <w:r w:rsidR="00317713" w:rsidRPr="00D004F6">
        <w:rPr>
          <w:rFonts w:ascii="Arial" w:hAnsi="Arial" w:cs="Arial"/>
          <w:color w:val="002060"/>
        </w:rPr>
        <w:t>s</w:t>
      </w:r>
      <w:bookmarkEnd w:id="37"/>
    </w:p>
    <w:p w14:paraId="7C7DA0A5" w14:textId="77777777" w:rsidR="009862F5" w:rsidRPr="009862F5" w:rsidRDefault="009862F5" w:rsidP="009862F5">
      <w:pPr>
        <w:pStyle w:val="ListParagraph"/>
        <w:ind w:left="430"/>
        <w:rPr>
          <w:sz w:val="8"/>
          <w:szCs w:val="8"/>
        </w:rPr>
      </w:pPr>
    </w:p>
    <w:p w14:paraId="6E68EDB6" w14:textId="12306C2F" w:rsidR="00AA3D27" w:rsidRPr="004C3673" w:rsidRDefault="00AA3D27" w:rsidP="00BE1D31">
      <w:pPr>
        <w:pStyle w:val="ListParagraph"/>
        <w:numPr>
          <w:ilvl w:val="0"/>
          <w:numId w:val="1"/>
        </w:numPr>
        <w:ind w:left="357" w:hanging="357"/>
        <w:contextualSpacing w:val="0"/>
        <w:rPr>
          <w:rFonts w:ascii="Arial" w:hAnsi="Arial" w:cs="Arial"/>
        </w:rPr>
      </w:pPr>
      <w:r w:rsidRPr="004C3673">
        <w:rPr>
          <w:rFonts w:ascii="Arial" w:hAnsi="Arial" w:cs="Arial"/>
        </w:rPr>
        <w:t xml:space="preserve">TRA </w:t>
      </w:r>
      <w:r w:rsidR="00317713" w:rsidRPr="004C3673">
        <w:rPr>
          <w:rFonts w:ascii="Arial" w:hAnsi="Arial" w:cs="Arial"/>
        </w:rPr>
        <w:t>t</w:t>
      </w:r>
      <w:r w:rsidRPr="004C3673">
        <w:rPr>
          <w:rFonts w:ascii="Arial" w:hAnsi="Arial" w:cs="Arial"/>
        </w:rPr>
        <w:t xml:space="preserve">ourism </w:t>
      </w:r>
      <w:r w:rsidR="00317713" w:rsidRPr="004C3673">
        <w:rPr>
          <w:rFonts w:ascii="Arial" w:hAnsi="Arial" w:cs="Arial"/>
        </w:rPr>
        <w:t>f</w:t>
      </w:r>
      <w:r w:rsidRPr="004C3673">
        <w:rPr>
          <w:rFonts w:ascii="Arial" w:hAnsi="Arial" w:cs="Arial"/>
        </w:rPr>
        <w:t xml:space="preserve">orecasts only provide </w:t>
      </w:r>
      <w:r w:rsidR="00AF56E3" w:rsidRPr="004C3673">
        <w:rPr>
          <w:rFonts w:ascii="Arial" w:hAnsi="Arial" w:cs="Arial"/>
        </w:rPr>
        <w:t>projections</w:t>
      </w:r>
      <w:r w:rsidRPr="004C3673">
        <w:rPr>
          <w:rFonts w:ascii="Arial" w:hAnsi="Arial" w:cs="Arial"/>
        </w:rPr>
        <w:t xml:space="preserve"> </w:t>
      </w:r>
      <w:r w:rsidR="00AF56E3" w:rsidRPr="004C3673">
        <w:rPr>
          <w:rFonts w:ascii="Arial" w:hAnsi="Arial" w:cs="Arial"/>
        </w:rPr>
        <w:t>for</w:t>
      </w:r>
      <w:r w:rsidRPr="004C3673">
        <w:rPr>
          <w:rFonts w:ascii="Arial" w:hAnsi="Arial" w:cs="Arial"/>
        </w:rPr>
        <w:t xml:space="preserve"> nights at a state level. </w:t>
      </w:r>
    </w:p>
    <w:p w14:paraId="45EBFA31" w14:textId="77777777" w:rsidR="009862F5" w:rsidRDefault="00AA3D27" w:rsidP="00BE1D31">
      <w:pPr>
        <w:pStyle w:val="ListParagraph"/>
        <w:numPr>
          <w:ilvl w:val="0"/>
          <w:numId w:val="1"/>
        </w:numPr>
        <w:ind w:left="357" w:hanging="357"/>
        <w:contextualSpacing w:val="0"/>
        <w:rPr>
          <w:rFonts w:ascii="Arial" w:hAnsi="Arial" w:cs="Arial"/>
        </w:rPr>
      </w:pPr>
      <w:r w:rsidRPr="004C3673">
        <w:rPr>
          <w:rFonts w:ascii="Arial" w:hAnsi="Arial" w:cs="Arial"/>
        </w:rPr>
        <w:t xml:space="preserve">TRA’s tourism forecasts represent the most likely outcomes given past trends, current </w:t>
      </w:r>
      <w:proofErr w:type="gramStart"/>
      <w:r w:rsidRPr="004C3673">
        <w:rPr>
          <w:rFonts w:ascii="Arial" w:hAnsi="Arial" w:cs="Arial"/>
        </w:rPr>
        <w:t>information</w:t>
      </w:r>
      <w:proofErr w:type="gramEnd"/>
      <w:r w:rsidRPr="004C3673">
        <w:rPr>
          <w:rFonts w:ascii="Arial" w:hAnsi="Arial" w:cs="Arial"/>
        </w:rPr>
        <w:t xml:space="preserve"> and the impact of known policy changes. Any variations in the assumptions or any disruptive events may produce shifts that may drive tourism forecasts either upward or downward.</w:t>
      </w:r>
    </w:p>
    <w:p w14:paraId="6B013AFC" w14:textId="48FDA692" w:rsidR="00AA3D27" w:rsidRPr="009862F5" w:rsidRDefault="00AA3D27" w:rsidP="00BE1D31">
      <w:pPr>
        <w:pStyle w:val="ListParagraph"/>
        <w:numPr>
          <w:ilvl w:val="0"/>
          <w:numId w:val="1"/>
        </w:numPr>
        <w:ind w:left="357" w:hanging="357"/>
        <w:contextualSpacing w:val="0"/>
        <w:rPr>
          <w:rStyle w:val="Hyperlink"/>
          <w:rFonts w:ascii="Arial" w:hAnsi="Arial" w:cs="Arial"/>
          <w:color w:val="auto"/>
          <w:u w:val="none"/>
        </w:rPr>
      </w:pPr>
      <w:r w:rsidRPr="009862F5">
        <w:rPr>
          <w:rFonts w:ascii="Arial" w:hAnsi="Arial" w:cs="Arial"/>
        </w:rPr>
        <w:t xml:space="preserve">More detailed information about </w:t>
      </w:r>
      <w:r w:rsidR="00317713" w:rsidRPr="009862F5">
        <w:rPr>
          <w:rFonts w:ascii="Arial" w:hAnsi="Arial" w:cs="Arial"/>
        </w:rPr>
        <w:t>t</w:t>
      </w:r>
      <w:r w:rsidRPr="009862F5">
        <w:rPr>
          <w:rFonts w:ascii="Arial" w:hAnsi="Arial" w:cs="Arial"/>
        </w:rPr>
        <w:t xml:space="preserve">ourism </w:t>
      </w:r>
      <w:r w:rsidR="00317713" w:rsidRPr="009862F5">
        <w:rPr>
          <w:rFonts w:ascii="Arial" w:hAnsi="Arial" w:cs="Arial"/>
        </w:rPr>
        <w:t>f</w:t>
      </w:r>
      <w:r w:rsidRPr="009862F5">
        <w:rPr>
          <w:rFonts w:ascii="Arial" w:hAnsi="Arial" w:cs="Arial"/>
        </w:rPr>
        <w:t xml:space="preserve">orecasts is available from </w:t>
      </w:r>
      <w:r w:rsidR="002E5FBC" w:rsidRPr="009862F5">
        <w:rPr>
          <w:rFonts w:ascii="Arial" w:hAnsi="Arial" w:cs="Arial"/>
        </w:rPr>
        <w:fldChar w:fldCharType="begin"/>
      </w:r>
      <w:r w:rsidR="002E5FBC" w:rsidRPr="009862F5">
        <w:rPr>
          <w:rFonts w:ascii="Arial" w:hAnsi="Arial" w:cs="Arial"/>
        </w:rPr>
        <w:instrText xml:space="preserve"> HYPERLINK "https://www.tra.gov.au/en/economic-analysis/tourism-forecasts" </w:instrText>
      </w:r>
      <w:r w:rsidR="002E5FBC" w:rsidRPr="009862F5">
        <w:rPr>
          <w:rFonts w:ascii="Arial" w:hAnsi="Arial" w:cs="Arial"/>
        </w:rPr>
        <w:fldChar w:fldCharType="separate"/>
      </w:r>
      <w:r w:rsidRPr="009862F5">
        <w:rPr>
          <w:rStyle w:val="Hyperlink"/>
          <w:rFonts w:ascii="Arial" w:hAnsi="Arial" w:cs="Arial"/>
        </w:rPr>
        <w:t>Tourism Research Australia.</w:t>
      </w:r>
    </w:p>
    <w:p w14:paraId="6DFF02A9" w14:textId="4DB51CFA" w:rsidR="00592259" w:rsidRPr="00F906AA" w:rsidRDefault="002E5FBC" w:rsidP="009862F5">
      <w:pPr>
        <w:rPr>
          <w:sz w:val="16"/>
          <w:szCs w:val="16"/>
        </w:rPr>
      </w:pPr>
      <w:r>
        <w:fldChar w:fldCharType="end"/>
      </w:r>
    </w:p>
    <w:p w14:paraId="01EA0CD7" w14:textId="1E1CFE55" w:rsidR="00C5328C" w:rsidRPr="004C3673" w:rsidRDefault="00AB2377" w:rsidP="00B0451F">
      <w:pPr>
        <w:pStyle w:val="Heading1"/>
        <w:spacing w:before="120"/>
        <w:rPr>
          <w:rFonts w:ascii="Arial" w:hAnsi="Arial" w:cs="Arial"/>
        </w:rPr>
      </w:pPr>
      <w:bookmarkStart w:id="38" w:name="_Toc167188611"/>
      <w:r w:rsidRPr="00F906AA">
        <w:rPr>
          <w:rFonts w:ascii="Arial" w:hAnsi="Arial" w:cs="Arial"/>
          <w:color w:val="002060"/>
        </w:rPr>
        <w:t>6.</w:t>
      </w:r>
      <w:r w:rsidR="00C5328C" w:rsidRPr="00F906AA">
        <w:rPr>
          <w:rFonts w:ascii="Arial" w:hAnsi="Arial" w:cs="Arial"/>
          <w:color w:val="002060"/>
        </w:rPr>
        <w:t>Tourism Satellite Account (TSA)</w:t>
      </w:r>
      <w:bookmarkEnd w:id="38"/>
    </w:p>
    <w:p w14:paraId="49ACF47E" w14:textId="02C5AA0D" w:rsidR="00AE0ACF" w:rsidRPr="004C3673" w:rsidRDefault="00AE0ACF" w:rsidP="00B0451F">
      <w:pPr>
        <w:spacing w:before="120"/>
        <w:rPr>
          <w:rFonts w:ascii="Arial" w:hAnsi="Arial" w:cs="Arial"/>
        </w:rPr>
      </w:pPr>
      <w:r w:rsidRPr="004C3673">
        <w:rPr>
          <w:rFonts w:ascii="Arial" w:hAnsi="Arial" w:cs="Arial"/>
        </w:rPr>
        <w:t xml:space="preserve">Economic impacts for tourism are estimated using a standardised statistical framework that is applied at the national, </w:t>
      </w:r>
      <w:proofErr w:type="gramStart"/>
      <w:r w:rsidRPr="004C3673">
        <w:rPr>
          <w:rFonts w:ascii="Arial" w:hAnsi="Arial" w:cs="Arial"/>
        </w:rPr>
        <w:t>state</w:t>
      </w:r>
      <w:proofErr w:type="gramEnd"/>
      <w:r w:rsidRPr="004C3673">
        <w:rPr>
          <w:rFonts w:ascii="Arial" w:hAnsi="Arial" w:cs="Arial"/>
        </w:rPr>
        <w:t xml:space="preserve"> and regional level using a Tourism Satellite Account (TSA) methodology. This is done because tourism is not a traditional industry and is therefore not included explicitly in the Australia</w:t>
      </w:r>
      <w:r w:rsidR="001B4C04" w:rsidRPr="004C3673">
        <w:rPr>
          <w:rFonts w:ascii="Arial" w:hAnsi="Arial" w:cs="Arial"/>
        </w:rPr>
        <w:t>n</w:t>
      </w:r>
      <w:r w:rsidRPr="004C3673">
        <w:rPr>
          <w:rFonts w:ascii="Arial" w:hAnsi="Arial" w:cs="Arial"/>
        </w:rPr>
        <w:t xml:space="preserve"> Bureau of Statistics (ABS) system of National Accounts (where industries are defined </w:t>
      </w:r>
      <w:proofErr w:type="gramStart"/>
      <w:r w:rsidRPr="004C3673">
        <w:rPr>
          <w:rFonts w:ascii="Arial" w:hAnsi="Arial" w:cs="Arial"/>
        </w:rPr>
        <w:t>on the basis of</w:t>
      </w:r>
      <w:proofErr w:type="gramEnd"/>
      <w:r w:rsidRPr="004C3673">
        <w:rPr>
          <w:rFonts w:ascii="Arial" w:hAnsi="Arial" w:cs="Arial"/>
        </w:rPr>
        <w:t xml:space="preserve"> the goods and services they produce). </w:t>
      </w:r>
    </w:p>
    <w:p w14:paraId="5133E575" w14:textId="77777777" w:rsidR="00777130" w:rsidRPr="004C3673" w:rsidRDefault="00AE0ACF" w:rsidP="006F5492">
      <w:pPr>
        <w:rPr>
          <w:rFonts w:ascii="Arial" w:hAnsi="Arial" w:cs="Arial"/>
        </w:rPr>
      </w:pPr>
      <w:r w:rsidRPr="004C3673">
        <w:rPr>
          <w:rFonts w:ascii="Arial" w:hAnsi="Arial" w:cs="Arial"/>
        </w:rPr>
        <w:t xml:space="preserve">Tourism is implicitly included in the National Accounts </w:t>
      </w:r>
      <w:proofErr w:type="gramStart"/>
      <w:r w:rsidRPr="004C3673">
        <w:rPr>
          <w:rFonts w:ascii="Arial" w:hAnsi="Arial" w:cs="Arial"/>
        </w:rPr>
        <w:t>on the basis of</w:t>
      </w:r>
      <w:proofErr w:type="gramEnd"/>
      <w:r w:rsidRPr="004C3673">
        <w:rPr>
          <w:rFonts w:ascii="Arial" w:hAnsi="Arial" w:cs="Arial"/>
        </w:rPr>
        <w:t xml:space="preserve"> products purchased and consumed by visitors and produced by suppliers. In this way, the tourism industry is an aggregate of conventional industries and is defined by the status of the consumer of these products (i.e., as a visitor not a local). </w:t>
      </w:r>
    </w:p>
    <w:p w14:paraId="0B2C72CC" w14:textId="65BE7A49" w:rsidR="00AE0ACF" w:rsidRPr="004C3673" w:rsidRDefault="00AE0ACF" w:rsidP="006F5492">
      <w:pPr>
        <w:rPr>
          <w:rFonts w:ascii="Arial" w:hAnsi="Arial" w:cs="Arial"/>
        </w:rPr>
      </w:pPr>
      <w:r w:rsidRPr="004C3673">
        <w:rPr>
          <w:rFonts w:ascii="Arial" w:hAnsi="Arial" w:cs="Arial"/>
        </w:rPr>
        <w:t xml:space="preserve">Tourism is not restricted to leisure activity </w:t>
      </w:r>
      <w:r w:rsidR="00777130" w:rsidRPr="004C3673">
        <w:rPr>
          <w:rFonts w:ascii="Arial" w:hAnsi="Arial" w:cs="Arial"/>
        </w:rPr>
        <w:t>and</w:t>
      </w:r>
      <w:r w:rsidRPr="004C3673">
        <w:rPr>
          <w:rFonts w:ascii="Arial" w:hAnsi="Arial" w:cs="Arial"/>
        </w:rPr>
        <w:t xml:space="preserve"> includes travel for business, </w:t>
      </w:r>
      <w:proofErr w:type="gramStart"/>
      <w:r w:rsidRPr="004C3673">
        <w:rPr>
          <w:rFonts w:ascii="Arial" w:hAnsi="Arial" w:cs="Arial"/>
        </w:rPr>
        <w:t>education</w:t>
      </w:r>
      <w:proofErr w:type="gramEnd"/>
      <w:r w:rsidRPr="004C3673">
        <w:rPr>
          <w:rFonts w:ascii="Arial" w:hAnsi="Arial" w:cs="Arial"/>
        </w:rPr>
        <w:t xml:space="preserve"> or other reasons, provided that the destination is outside of the visitor's usual environment and is for the duration of less than a year.</w:t>
      </w:r>
    </w:p>
    <w:p w14:paraId="3F4E6638" w14:textId="77777777" w:rsidR="009A7271" w:rsidRPr="009A7271" w:rsidRDefault="009A7271" w:rsidP="009A7271">
      <w:pPr>
        <w:rPr>
          <w:sz w:val="8"/>
          <w:szCs w:val="8"/>
        </w:rPr>
      </w:pPr>
    </w:p>
    <w:p w14:paraId="3D7D133F" w14:textId="29BC7E84" w:rsidR="00A46AEB" w:rsidRPr="00F906AA" w:rsidRDefault="00AB2377" w:rsidP="00A46AEB">
      <w:pPr>
        <w:pStyle w:val="Heading2"/>
        <w:rPr>
          <w:rFonts w:ascii="Arial" w:hAnsi="Arial" w:cs="Arial"/>
          <w:color w:val="002060"/>
        </w:rPr>
      </w:pPr>
      <w:bookmarkStart w:id="39" w:name="_Toc167188612"/>
      <w:r w:rsidRPr="00F906AA">
        <w:rPr>
          <w:rFonts w:ascii="Arial" w:hAnsi="Arial" w:cs="Arial"/>
          <w:color w:val="002060"/>
        </w:rPr>
        <w:t xml:space="preserve">6.1 </w:t>
      </w:r>
      <w:r w:rsidR="00511DA1" w:rsidRPr="00F906AA">
        <w:rPr>
          <w:rFonts w:ascii="Arial" w:hAnsi="Arial" w:cs="Arial"/>
          <w:color w:val="002060"/>
        </w:rPr>
        <w:t xml:space="preserve">TSA </w:t>
      </w:r>
      <w:r w:rsidR="001B4C04" w:rsidRPr="00F906AA">
        <w:rPr>
          <w:rFonts w:ascii="Arial" w:hAnsi="Arial" w:cs="Arial"/>
          <w:color w:val="002060"/>
        </w:rPr>
        <w:t>m</w:t>
      </w:r>
      <w:r w:rsidR="00A46AEB" w:rsidRPr="00F906AA">
        <w:rPr>
          <w:rFonts w:ascii="Arial" w:hAnsi="Arial" w:cs="Arial"/>
          <w:color w:val="002060"/>
        </w:rPr>
        <w:t>ethodology</w:t>
      </w:r>
      <w:bookmarkEnd w:id="39"/>
    </w:p>
    <w:p w14:paraId="13261A4F" w14:textId="77777777" w:rsidR="009862F5" w:rsidRPr="009862F5" w:rsidRDefault="009862F5" w:rsidP="009862F5">
      <w:pPr>
        <w:rPr>
          <w:sz w:val="8"/>
          <w:szCs w:val="8"/>
        </w:rPr>
      </w:pPr>
    </w:p>
    <w:p w14:paraId="7682716E" w14:textId="5EDE18AB" w:rsidR="003E58D9" w:rsidRPr="004C3673" w:rsidRDefault="003E58D9" w:rsidP="00BE1D31">
      <w:pPr>
        <w:pStyle w:val="ListParagraph"/>
        <w:numPr>
          <w:ilvl w:val="0"/>
          <w:numId w:val="1"/>
        </w:numPr>
        <w:ind w:left="357" w:hanging="357"/>
        <w:contextualSpacing w:val="0"/>
        <w:rPr>
          <w:rFonts w:ascii="Arial" w:hAnsi="Arial" w:cs="Arial"/>
        </w:rPr>
      </w:pPr>
      <w:r w:rsidRPr="004C3673">
        <w:rPr>
          <w:rFonts w:ascii="Arial" w:hAnsi="Arial" w:cs="Arial"/>
        </w:rPr>
        <w:t xml:space="preserve">The economic value of tourism to Australia’s economy is estimated using an internationally accepted framework developed by the </w:t>
      </w:r>
      <w:hyperlink r:id="rId18" w:history="1">
        <w:r w:rsidRPr="004C3673">
          <w:rPr>
            <w:rStyle w:val="Hyperlink"/>
            <w:rFonts w:ascii="Arial" w:hAnsi="Arial" w:cs="Arial"/>
          </w:rPr>
          <w:t>U</w:t>
        </w:r>
        <w:r w:rsidR="00C058D3" w:rsidRPr="004C3673">
          <w:rPr>
            <w:rStyle w:val="Hyperlink"/>
            <w:rFonts w:ascii="Arial" w:hAnsi="Arial" w:cs="Arial"/>
          </w:rPr>
          <w:t xml:space="preserve">nited </w:t>
        </w:r>
        <w:r w:rsidRPr="004C3673">
          <w:rPr>
            <w:rStyle w:val="Hyperlink"/>
            <w:rFonts w:ascii="Arial" w:hAnsi="Arial" w:cs="Arial"/>
          </w:rPr>
          <w:t>N</w:t>
        </w:r>
        <w:r w:rsidR="00C058D3" w:rsidRPr="004C3673">
          <w:rPr>
            <w:rStyle w:val="Hyperlink"/>
            <w:rFonts w:ascii="Arial" w:hAnsi="Arial" w:cs="Arial"/>
          </w:rPr>
          <w:t xml:space="preserve">ations </w:t>
        </w:r>
        <w:r w:rsidRPr="004C3673">
          <w:rPr>
            <w:rStyle w:val="Hyperlink"/>
            <w:rFonts w:ascii="Arial" w:hAnsi="Arial" w:cs="Arial"/>
          </w:rPr>
          <w:t>W</w:t>
        </w:r>
        <w:r w:rsidR="00C058D3" w:rsidRPr="004C3673">
          <w:rPr>
            <w:rStyle w:val="Hyperlink"/>
            <w:rFonts w:ascii="Arial" w:hAnsi="Arial" w:cs="Arial"/>
          </w:rPr>
          <w:t xml:space="preserve">orld </w:t>
        </w:r>
        <w:r w:rsidRPr="004C3673">
          <w:rPr>
            <w:rStyle w:val="Hyperlink"/>
            <w:rFonts w:ascii="Arial" w:hAnsi="Arial" w:cs="Arial"/>
          </w:rPr>
          <w:t>T</w:t>
        </w:r>
        <w:r w:rsidR="00C058D3" w:rsidRPr="004C3673">
          <w:rPr>
            <w:rStyle w:val="Hyperlink"/>
            <w:rFonts w:ascii="Arial" w:hAnsi="Arial" w:cs="Arial"/>
          </w:rPr>
          <w:t xml:space="preserve">ourism </w:t>
        </w:r>
        <w:r w:rsidRPr="004C3673">
          <w:rPr>
            <w:rStyle w:val="Hyperlink"/>
            <w:rFonts w:ascii="Arial" w:hAnsi="Arial" w:cs="Arial"/>
          </w:rPr>
          <w:t>O</w:t>
        </w:r>
        <w:r w:rsidR="00C058D3" w:rsidRPr="004C3673">
          <w:rPr>
            <w:rStyle w:val="Hyperlink"/>
            <w:rFonts w:ascii="Arial" w:hAnsi="Arial" w:cs="Arial"/>
          </w:rPr>
          <w:t>rganisation</w:t>
        </w:r>
      </w:hyperlink>
      <w:r w:rsidRPr="004C3673">
        <w:rPr>
          <w:rFonts w:ascii="Arial" w:hAnsi="Arial" w:cs="Arial"/>
          <w:color w:val="002060"/>
        </w:rPr>
        <w:t xml:space="preserve"> </w:t>
      </w:r>
      <w:r w:rsidRPr="004C3673">
        <w:rPr>
          <w:rFonts w:ascii="Arial" w:hAnsi="Arial" w:cs="Arial"/>
        </w:rPr>
        <w:t>(a tourism satellite account), which produces measures for tourism against gross domestic product, gross value added, trade, and employment.</w:t>
      </w:r>
    </w:p>
    <w:p w14:paraId="05467862" w14:textId="77777777" w:rsidR="003E58D9" w:rsidRPr="004C3673" w:rsidRDefault="003E58D9" w:rsidP="00BE1D31">
      <w:pPr>
        <w:pStyle w:val="ListParagraph"/>
        <w:numPr>
          <w:ilvl w:val="0"/>
          <w:numId w:val="1"/>
        </w:numPr>
        <w:ind w:left="357" w:hanging="357"/>
        <w:contextualSpacing w:val="0"/>
        <w:rPr>
          <w:rFonts w:ascii="Arial" w:hAnsi="Arial" w:cs="Arial"/>
        </w:rPr>
      </w:pPr>
      <w:r w:rsidRPr="004C3673">
        <w:rPr>
          <w:rFonts w:ascii="Arial" w:hAnsi="Arial" w:cs="Arial"/>
        </w:rPr>
        <w:t>The ABS produces the estimates at a national level (with input from the IVS and NVS) and TRA produces the state and regional estimates.</w:t>
      </w:r>
    </w:p>
    <w:p w14:paraId="02582DC2" w14:textId="2CC8CC48" w:rsidR="00A46AEB" w:rsidRPr="004C3673" w:rsidRDefault="00A46AEB" w:rsidP="00BE1D31">
      <w:pPr>
        <w:pStyle w:val="ListParagraph"/>
        <w:numPr>
          <w:ilvl w:val="0"/>
          <w:numId w:val="1"/>
        </w:numPr>
        <w:ind w:left="357" w:hanging="357"/>
        <w:contextualSpacing w:val="0"/>
        <w:rPr>
          <w:rFonts w:ascii="Arial" w:hAnsi="Arial" w:cs="Arial"/>
        </w:rPr>
      </w:pPr>
      <w:r w:rsidRPr="004C3673">
        <w:rPr>
          <w:rFonts w:ascii="Arial" w:hAnsi="Arial" w:cs="Arial"/>
        </w:rPr>
        <w:lastRenderedPageBreak/>
        <w:t>TSA use financial and economic data to generate important measures of economic activity like Gross Regional Product (the equivalent to Gross State Product (GSP) or Gross Domestic Product (GDP), Gross Value Added (GVA) and employment.</w:t>
      </w:r>
    </w:p>
    <w:p w14:paraId="0BE0251A" w14:textId="77777777" w:rsidR="00A46AEB" w:rsidRPr="004C3673" w:rsidRDefault="00A46AEB" w:rsidP="00BE1D31">
      <w:pPr>
        <w:pStyle w:val="ListParagraph"/>
        <w:numPr>
          <w:ilvl w:val="0"/>
          <w:numId w:val="1"/>
        </w:numPr>
        <w:ind w:left="357" w:hanging="357"/>
        <w:contextualSpacing w:val="0"/>
        <w:rPr>
          <w:rFonts w:ascii="Arial" w:hAnsi="Arial" w:cs="Arial"/>
        </w:rPr>
      </w:pPr>
      <w:r w:rsidRPr="004C3673">
        <w:rPr>
          <w:rFonts w:ascii="Arial" w:hAnsi="Arial" w:cs="Arial"/>
        </w:rPr>
        <w:t xml:space="preserve">There are </w:t>
      </w:r>
      <w:proofErr w:type="gramStart"/>
      <w:r w:rsidRPr="004C3673">
        <w:rPr>
          <w:rFonts w:ascii="Arial" w:hAnsi="Arial" w:cs="Arial"/>
        </w:rPr>
        <w:t>a number of</w:t>
      </w:r>
      <w:proofErr w:type="gramEnd"/>
      <w:r w:rsidRPr="004C3673">
        <w:rPr>
          <w:rFonts w:ascii="Arial" w:hAnsi="Arial" w:cs="Arial"/>
        </w:rPr>
        <w:t xml:space="preserve"> steps required to calculate the tourism industry’s contribution to the economy.  To start, a tourism consumption bundle is derived from TRA visitor survey data and adjusted to remove any price effects that are not directly attributed to the seller of the good or service (e.g., taxes, transport margins, pre-manufactured inputs etc.).  </w:t>
      </w:r>
    </w:p>
    <w:p w14:paraId="30FBFDB6" w14:textId="77777777" w:rsidR="00A46AEB" w:rsidRPr="004C3673" w:rsidRDefault="00A46AEB" w:rsidP="00BE1D31">
      <w:pPr>
        <w:pStyle w:val="ListParagraph"/>
        <w:numPr>
          <w:ilvl w:val="0"/>
          <w:numId w:val="1"/>
        </w:numPr>
        <w:ind w:left="357" w:hanging="357"/>
        <w:contextualSpacing w:val="0"/>
        <w:rPr>
          <w:rFonts w:ascii="Arial" w:hAnsi="Arial" w:cs="Arial"/>
        </w:rPr>
      </w:pPr>
      <w:r w:rsidRPr="004C3673">
        <w:rPr>
          <w:rFonts w:ascii="Arial" w:hAnsi="Arial" w:cs="Arial"/>
        </w:rPr>
        <w:t xml:space="preserve">The direct and indirect contributions of tourism are estimated by using regional input-output multiplier tables, derived from Australian Bureau of Statistics data. </w:t>
      </w:r>
    </w:p>
    <w:p w14:paraId="4E41007B" w14:textId="35DCBF3E" w:rsidR="00A46AEB" w:rsidRDefault="00A46AEB" w:rsidP="00BE1D31">
      <w:pPr>
        <w:pStyle w:val="ListParagraph"/>
        <w:numPr>
          <w:ilvl w:val="0"/>
          <w:numId w:val="1"/>
        </w:numPr>
        <w:ind w:left="357" w:hanging="357"/>
        <w:contextualSpacing w:val="0"/>
        <w:rPr>
          <w:rFonts w:ascii="Arial" w:hAnsi="Arial" w:cs="Arial"/>
        </w:rPr>
      </w:pPr>
      <w:r w:rsidRPr="004C3673">
        <w:rPr>
          <w:rFonts w:ascii="Arial" w:hAnsi="Arial" w:cs="Arial"/>
        </w:rPr>
        <w:t>Importantly, TSA reporting generates measures that are comparable to economic statistics from other industries produced in the National Accounts</w:t>
      </w:r>
      <w:r w:rsidR="007D3DC6" w:rsidRPr="004C3673">
        <w:rPr>
          <w:rFonts w:ascii="Arial" w:hAnsi="Arial" w:cs="Arial"/>
        </w:rPr>
        <w:t xml:space="preserve">. </w:t>
      </w:r>
      <w:r w:rsidRPr="004C3673">
        <w:rPr>
          <w:rFonts w:ascii="Arial" w:hAnsi="Arial" w:cs="Arial"/>
        </w:rPr>
        <w:t xml:space="preserve">GVA is the best measure for industry comparisons. </w:t>
      </w:r>
    </w:p>
    <w:p w14:paraId="73A9761D" w14:textId="77777777" w:rsidR="009A7271" w:rsidRPr="009A7271" w:rsidRDefault="009A7271" w:rsidP="009A7271">
      <w:pPr>
        <w:rPr>
          <w:sz w:val="8"/>
          <w:szCs w:val="8"/>
        </w:rPr>
      </w:pPr>
    </w:p>
    <w:p w14:paraId="2EBC4351" w14:textId="7AE35A56" w:rsidR="00A46AEB" w:rsidRPr="009862F5" w:rsidRDefault="00AB2377" w:rsidP="00A46AEB">
      <w:pPr>
        <w:pStyle w:val="Heading2"/>
        <w:rPr>
          <w:rFonts w:ascii="Arial" w:hAnsi="Arial" w:cs="Arial"/>
          <w:color w:val="002060"/>
        </w:rPr>
      </w:pPr>
      <w:bookmarkStart w:id="40" w:name="_Toc167188613"/>
      <w:r w:rsidRPr="009862F5">
        <w:rPr>
          <w:rFonts w:ascii="Arial" w:hAnsi="Arial" w:cs="Arial"/>
          <w:color w:val="002060"/>
        </w:rPr>
        <w:t xml:space="preserve">6.2 </w:t>
      </w:r>
      <w:r w:rsidR="00A46AEB" w:rsidRPr="009862F5">
        <w:rPr>
          <w:rFonts w:ascii="Arial" w:hAnsi="Arial" w:cs="Arial"/>
          <w:color w:val="002060"/>
        </w:rPr>
        <w:t>Key concepts</w:t>
      </w:r>
      <w:r w:rsidR="00511DA1" w:rsidRPr="009862F5">
        <w:rPr>
          <w:rFonts w:ascii="Arial" w:hAnsi="Arial" w:cs="Arial"/>
          <w:color w:val="002060"/>
        </w:rPr>
        <w:t xml:space="preserve"> of TSA</w:t>
      </w:r>
      <w:bookmarkEnd w:id="40"/>
    </w:p>
    <w:p w14:paraId="076F474E" w14:textId="77777777" w:rsidR="00A46AEB" w:rsidRPr="004C3673" w:rsidRDefault="00A46AEB" w:rsidP="00245970">
      <w:pPr>
        <w:spacing w:before="120" w:after="120"/>
        <w:contextualSpacing/>
        <w:rPr>
          <w:rFonts w:ascii="Arial" w:hAnsi="Arial" w:cs="Arial"/>
        </w:rPr>
      </w:pPr>
      <w:r w:rsidRPr="004C3673">
        <w:rPr>
          <w:rFonts w:ascii="Arial" w:hAnsi="Arial" w:cs="Arial"/>
        </w:rPr>
        <w:t>TSA can capture both the direct and indirect impacts of tourism. These are two important concepts to distinguish:</w:t>
      </w:r>
    </w:p>
    <w:p w14:paraId="530F3CBF" w14:textId="357436FC" w:rsidR="00A46AEB" w:rsidRPr="004C3673" w:rsidRDefault="00A46AEB" w:rsidP="00BE1D31">
      <w:pPr>
        <w:pStyle w:val="ListParagraph"/>
        <w:numPr>
          <w:ilvl w:val="0"/>
          <w:numId w:val="1"/>
        </w:numPr>
        <w:spacing w:before="120" w:after="120"/>
        <w:rPr>
          <w:rFonts w:ascii="Arial" w:hAnsi="Arial" w:cs="Arial"/>
        </w:rPr>
      </w:pPr>
      <w:r w:rsidRPr="004C3673">
        <w:rPr>
          <w:rFonts w:ascii="Arial" w:hAnsi="Arial" w:cs="Arial"/>
        </w:rPr>
        <w:t xml:space="preserve">The direct contribution of tourism measures the contribution of direct transactions between a visitor and producer of a good or service. </w:t>
      </w:r>
      <w:r w:rsidR="007D3DC6" w:rsidRPr="004C3673">
        <w:rPr>
          <w:rFonts w:ascii="Arial" w:hAnsi="Arial" w:cs="Arial"/>
        </w:rPr>
        <w:t>T</w:t>
      </w:r>
      <w:r w:rsidRPr="004C3673">
        <w:rPr>
          <w:rFonts w:ascii="Arial" w:hAnsi="Arial" w:cs="Arial"/>
        </w:rPr>
        <w:t xml:space="preserve">his would include the direct impact of a visitor staying at hotel or participating in a tour. </w:t>
      </w:r>
    </w:p>
    <w:p w14:paraId="0A9A5B2F" w14:textId="657DDBDA" w:rsidR="00A46AEB" w:rsidRDefault="00A46AEB" w:rsidP="00BE1D31">
      <w:pPr>
        <w:pStyle w:val="ListParagraph"/>
        <w:numPr>
          <w:ilvl w:val="0"/>
          <w:numId w:val="1"/>
        </w:numPr>
        <w:spacing w:before="120" w:after="120"/>
        <w:rPr>
          <w:rFonts w:ascii="Arial" w:hAnsi="Arial" w:cs="Arial"/>
        </w:rPr>
      </w:pPr>
      <w:r w:rsidRPr="004C3673">
        <w:rPr>
          <w:rFonts w:ascii="Arial" w:hAnsi="Arial" w:cs="Arial"/>
        </w:rPr>
        <w:t>The indirect contribution of tourism captures the flow-on or second round</w:t>
      </w:r>
      <w:r w:rsidR="00A07349" w:rsidRPr="004C3673">
        <w:rPr>
          <w:rFonts w:ascii="Arial" w:hAnsi="Arial" w:cs="Arial"/>
        </w:rPr>
        <w:t xml:space="preserve"> </w:t>
      </w:r>
      <w:r w:rsidRPr="004C3673">
        <w:rPr>
          <w:rFonts w:ascii="Arial" w:hAnsi="Arial" w:cs="Arial"/>
        </w:rPr>
        <w:t xml:space="preserve">impacts created by the tourism industry. These </w:t>
      </w:r>
      <w:r w:rsidR="00F44FF7" w:rsidRPr="004C3673">
        <w:rPr>
          <w:rFonts w:ascii="Arial" w:hAnsi="Arial" w:cs="Arial"/>
        </w:rPr>
        <w:t xml:space="preserve">are generated by </w:t>
      </w:r>
      <w:r w:rsidRPr="004C3673">
        <w:rPr>
          <w:rFonts w:ascii="Arial" w:hAnsi="Arial" w:cs="Arial"/>
        </w:rPr>
        <w:t xml:space="preserve">inputs </w:t>
      </w:r>
      <w:r w:rsidR="00F44FF7" w:rsidRPr="004C3673">
        <w:rPr>
          <w:rFonts w:ascii="Arial" w:hAnsi="Arial" w:cs="Arial"/>
        </w:rPr>
        <w:t>that are</w:t>
      </w:r>
      <w:r w:rsidRPr="004C3673">
        <w:rPr>
          <w:rFonts w:ascii="Arial" w:hAnsi="Arial" w:cs="Arial"/>
        </w:rPr>
        <w:t xml:space="preserve"> supplied to the industries that directly provide goods and services to visitors. For example, this might include the fresh produce supplied to a hotel to provide meals to guests.</w:t>
      </w:r>
    </w:p>
    <w:p w14:paraId="280ED697" w14:textId="77777777" w:rsidR="009862F5" w:rsidRPr="009862F5" w:rsidRDefault="009862F5" w:rsidP="009862F5"/>
    <w:p w14:paraId="46F70390" w14:textId="2F03E2CA" w:rsidR="003F5FD1" w:rsidRPr="009862F5" w:rsidRDefault="00AB2377" w:rsidP="003F5FD1">
      <w:pPr>
        <w:pStyle w:val="Heading2"/>
        <w:rPr>
          <w:rFonts w:ascii="Arial" w:hAnsi="Arial" w:cs="Arial"/>
          <w:color w:val="002060"/>
        </w:rPr>
      </w:pPr>
      <w:bookmarkStart w:id="41" w:name="_Toc167188614"/>
      <w:r w:rsidRPr="009862F5">
        <w:rPr>
          <w:rFonts w:ascii="Arial" w:hAnsi="Arial" w:cs="Arial"/>
          <w:color w:val="002060"/>
        </w:rPr>
        <w:t xml:space="preserve">6.3 </w:t>
      </w:r>
      <w:r w:rsidR="003F5FD1" w:rsidRPr="009862F5">
        <w:rPr>
          <w:rFonts w:ascii="Arial" w:hAnsi="Arial" w:cs="Arial"/>
          <w:color w:val="002060"/>
        </w:rPr>
        <w:t>TSA reporting levels</w:t>
      </w:r>
      <w:bookmarkEnd w:id="41"/>
    </w:p>
    <w:p w14:paraId="645D738E" w14:textId="77777777" w:rsidR="00F20825" w:rsidRPr="00F20825" w:rsidRDefault="00F20825" w:rsidP="00F20825">
      <w:pPr>
        <w:rPr>
          <w:sz w:val="8"/>
          <w:szCs w:val="8"/>
        </w:rPr>
      </w:pPr>
    </w:p>
    <w:p w14:paraId="3271E3EE" w14:textId="47E4DE68" w:rsidR="00975585" w:rsidRPr="004C3673" w:rsidRDefault="00AB2377" w:rsidP="00975585">
      <w:pPr>
        <w:pStyle w:val="Heading3"/>
        <w:rPr>
          <w:rFonts w:ascii="Arial" w:hAnsi="Arial" w:cs="Arial"/>
          <w:color w:val="002060"/>
        </w:rPr>
      </w:pPr>
      <w:r>
        <w:rPr>
          <w:rFonts w:ascii="Arial" w:hAnsi="Arial" w:cs="Arial"/>
          <w:color w:val="002060"/>
        </w:rPr>
        <w:t xml:space="preserve">6.3.1 </w:t>
      </w:r>
      <w:r w:rsidR="00975585" w:rsidRPr="004C3673">
        <w:rPr>
          <w:rFonts w:ascii="Arial" w:hAnsi="Arial" w:cs="Arial"/>
          <w:color w:val="002060"/>
        </w:rPr>
        <w:t xml:space="preserve">National Tourism Satellite Accounts produced by </w:t>
      </w:r>
      <w:proofErr w:type="gramStart"/>
      <w:r w:rsidR="00975585" w:rsidRPr="004C3673">
        <w:rPr>
          <w:rFonts w:ascii="Arial" w:hAnsi="Arial" w:cs="Arial"/>
          <w:color w:val="002060"/>
        </w:rPr>
        <w:t>ABS</w:t>
      </w:r>
      <w:proofErr w:type="gramEnd"/>
    </w:p>
    <w:p w14:paraId="5641FCB9" w14:textId="113E8F47" w:rsidR="00975585" w:rsidRPr="004C3673" w:rsidRDefault="00975585" w:rsidP="00975585">
      <w:pPr>
        <w:rPr>
          <w:rFonts w:ascii="Arial" w:hAnsi="Arial" w:cs="Arial"/>
        </w:rPr>
      </w:pPr>
      <w:r w:rsidRPr="004C3673">
        <w:rPr>
          <w:rFonts w:ascii="Arial" w:hAnsi="Arial" w:cs="Arial"/>
        </w:rPr>
        <w:t xml:space="preserve">The National TSA captures </w:t>
      </w:r>
      <w:r w:rsidR="00E61091" w:rsidRPr="004C3673">
        <w:rPr>
          <w:rFonts w:ascii="Arial" w:hAnsi="Arial" w:cs="Arial"/>
        </w:rPr>
        <w:t xml:space="preserve">the </w:t>
      </w:r>
      <w:r w:rsidRPr="004C3673">
        <w:rPr>
          <w:rFonts w:ascii="Arial" w:hAnsi="Arial" w:cs="Arial"/>
        </w:rPr>
        <w:t>direct economic value of tourism for Australia.</w:t>
      </w:r>
      <w:r w:rsidR="00E26A4F" w:rsidRPr="004C3673">
        <w:rPr>
          <w:rFonts w:ascii="Arial" w:hAnsi="Arial" w:cs="Arial"/>
        </w:rPr>
        <w:t xml:space="preserve"> </w:t>
      </w:r>
      <w:r w:rsidRPr="004C3673">
        <w:rPr>
          <w:rFonts w:ascii="Arial" w:hAnsi="Arial" w:cs="Arial"/>
        </w:rPr>
        <w:t>This allows tourism to be compared</w:t>
      </w:r>
      <w:r w:rsidR="00B50C68" w:rsidRPr="004C3673">
        <w:rPr>
          <w:rFonts w:ascii="Arial" w:hAnsi="Arial" w:cs="Arial"/>
        </w:rPr>
        <w:t xml:space="preserve"> to </w:t>
      </w:r>
      <w:r w:rsidRPr="004C3673">
        <w:rPr>
          <w:rFonts w:ascii="Arial" w:hAnsi="Arial" w:cs="Arial"/>
        </w:rPr>
        <w:t>traditiona</w:t>
      </w:r>
      <w:r w:rsidR="00B50C68" w:rsidRPr="004C3673">
        <w:rPr>
          <w:rFonts w:ascii="Arial" w:hAnsi="Arial" w:cs="Arial"/>
        </w:rPr>
        <w:t xml:space="preserve">l </w:t>
      </w:r>
      <w:r w:rsidRPr="004C3673">
        <w:rPr>
          <w:rFonts w:ascii="Arial" w:hAnsi="Arial" w:cs="Arial"/>
        </w:rPr>
        <w:t>national industries.</w:t>
      </w:r>
    </w:p>
    <w:p w14:paraId="3C892830" w14:textId="3BE398D8" w:rsidR="00975585" w:rsidRPr="002E5FBC" w:rsidRDefault="00975585" w:rsidP="00975585">
      <w:pPr>
        <w:rPr>
          <w:rStyle w:val="Hyperlink"/>
        </w:rPr>
      </w:pPr>
      <w:r w:rsidRPr="004C3673">
        <w:rPr>
          <w:rFonts w:ascii="Arial" w:hAnsi="Arial" w:cs="Arial"/>
        </w:rPr>
        <w:t xml:space="preserve">More detailed information about the National TSA is available from the </w:t>
      </w:r>
      <w:hyperlink r:id="rId19" w:history="1">
        <w:r w:rsidRPr="004C3673">
          <w:rPr>
            <w:rStyle w:val="Hyperlink"/>
            <w:rFonts w:ascii="Arial" w:hAnsi="Arial" w:cs="Arial"/>
          </w:rPr>
          <w:t>Australian Bureau of Statistics</w:t>
        </w:r>
        <w:r w:rsidR="009A7271">
          <w:rPr>
            <w:rStyle w:val="Hyperlink"/>
            <w:rFonts w:ascii="Arial" w:hAnsi="Arial" w:cs="Arial"/>
          </w:rPr>
          <w:t>.</w:t>
        </w:r>
        <w:r w:rsidRPr="004C3673">
          <w:rPr>
            <w:rStyle w:val="Hyperlink"/>
            <w:rFonts w:ascii="Arial" w:hAnsi="Arial" w:cs="Arial"/>
          </w:rPr>
          <w:t xml:space="preserve"> </w:t>
        </w:r>
      </w:hyperlink>
    </w:p>
    <w:p w14:paraId="74D79140" w14:textId="04E77E51" w:rsidR="00975585" w:rsidRDefault="00AB2377" w:rsidP="00975585">
      <w:pPr>
        <w:pStyle w:val="Heading3"/>
        <w:rPr>
          <w:rFonts w:ascii="Arial" w:hAnsi="Arial" w:cs="Arial"/>
          <w:color w:val="002060"/>
        </w:rPr>
      </w:pPr>
      <w:r>
        <w:rPr>
          <w:rFonts w:ascii="Arial" w:hAnsi="Arial" w:cs="Arial"/>
          <w:color w:val="002060"/>
        </w:rPr>
        <w:t xml:space="preserve">6.3.2 </w:t>
      </w:r>
      <w:r w:rsidR="00975585" w:rsidRPr="004C3673">
        <w:rPr>
          <w:rFonts w:ascii="Arial" w:hAnsi="Arial" w:cs="Arial"/>
          <w:color w:val="002060"/>
        </w:rPr>
        <w:t xml:space="preserve">State Tourism Satellite Accounts produced by </w:t>
      </w:r>
      <w:proofErr w:type="gramStart"/>
      <w:r w:rsidR="00975585" w:rsidRPr="004C3673">
        <w:rPr>
          <w:rFonts w:ascii="Arial" w:hAnsi="Arial" w:cs="Arial"/>
          <w:color w:val="002060"/>
        </w:rPr>
        <w:t>TRA</w:t>
      </w:r>
      <w:proofErr w:type="gramEnd"/>
    </w:p>
    <w:p w14:paraId="0CEC3FF6" w14:textId="77777777" w:rsidR="00975585" w:rsidRPr="004C3673" w:rsidRDefault="00975585" w:rsidP="00975585">
      <w:pPr>
        <w:rPr>
          <w:rFonts w:ascii="Arial" w:hAnsi="Arial" w:cs="Arial"/>
        </w:rPr>
      </w:pPr>
      <w:r w:rsidRPr="004C3673">
        <w:rPr>
          <w:rFonts w:ascii="Arial" w:hAnsi="Arial" w:cs="Arial"/>
        </w:rPr>
        <w:t>Tourism Research Australia (TRA) supplements the national Tourism Satellite Account (TSA) published by the Australian Bureau of Statistics (ABS) with a similar set of TSA data expanded for all states and territories. The state TSA provides state measures for both the direct and indirect contribution of tourism, and total contribution of tourism to the state and national economies. This provides a more complete picture of the contribution of the tourism sector to the Australian economy.</w:t>
      </w:r>
    </w:p>
    <w:p w14:paraId="5E5E6FA5" w14:textId="256B6944" w:rsidR="00975585" w:rsidRPr="00B33AA0" w:rsidRDefault="00975585" w:rsidP="00975585">
      <w:pPr>
        <w:rPr>
          <w:rStyle w:val="Hyperlink"/>
          <w:rFonts w:ascii="Arial" w:hAnsi="Arial" w:cs="Arial"/>
        </w:rPr>
      </w:pPr>
      <w:r w:rsidRPr="004C3673">
        <w:rPr>
          <w:rFonts w:ascii="Arial" w:hAnsi="Arial" w:cs="Arial"/>
        </w:rPr>
        <w:t xml:space="preserve">More detailed information about the State Tourism Satellite Accounts is available from </w:t>
      </w:r>
      <w:r w:rsidR="00B33AA0">
        <w:rPr>
          <w:rFonts w:ascii="Arial" w:hAnsi="Arial" w:cs="Arial"/>
        </w:rPr>
        <w:fldChar w:fldCharType="begin"/>
      </w:r>
      <w:r w:rsidR="00B33AA0">
        <w:rPr>
          <w:rFonts w:ascii="Arial" w:hAnsi="Arial" w:cs="Arial"/>
        </w:rPr>
        <w:instrText xml:space="preserve"> HYPERLINK "https://www.tra.gov.au/en/economic-analysis/tourism-satellite-accounts/state-tourism-satellite-account" </w:instrText>
      </w:r>
      <w:r w:rsidR="00B33AA0">
        <w:rPr>
          <w:rFonts w:ascii="Arial" w:hAnsi="Arial" w:cs="Arial"/>
        </w:rPr>
      </w:r>
      <w:r w:rsidR="00B33AA0">
        <w:rPr>
          <w:rFonts w:ascii="Arial" w:hAnsi="Arial" w:cs="Arial"/>
        </w:rPr>
        <w:fldChar w:fldCharType="separate"/>
      </w:r>
      <w:r w:rsidRPr="00B33AA0">
        <w:rPr>
          <w:rStyle w:val="Hyperlink"/>
          <w:rFonts w:ascii="Arial" w:hAnsi="Arial" w:cs="Arial"/>
        </w:rPr>
        <w:t xml:space="preserve">Tourism Research Australia.  </w:t>
      </w:r>
    </w:p>
    <w:p w14:paraId="67EDFE61" w14:textId="3BF5F8D8" w:rsidR="00975585" w:rsidRPr="004C3673" w:rsidRDefault="00B33AA0" w:rsidP="00975585">
      <w:pPr>
        <w:pStyle w:val="Heading3"/>
        <w:rPr>
          <w:rFonts w:ascii="Arial" w:hAnsi="Arial" w:cs="Arial"/>
          <w:color w:val="002060"/>
        </w:rPr>
      </w:pPr>
      <w:r>
        <w:rPr>
          <w:rFonts w:ascii="Arial" w:eastAsiaTheme="minorHAnsi" w:hAnsi="Arial" w:cs="Arial"/>
          <w:color w:val="auto"/>
          <w:sz w:val="22"/>
          <w:szCs w:val="22"/>
        </w:rPr>
        <w:fldChar w:fldCharType="end"/>
      </w:r>
      <w:r w:rsidR="00AB2377">
        <w:rPr>
          <w:rFonts w:ascii="Arial" w:hAnsi="Arial" w:cs="Arial"/>
          <w:color w:val="002060"/>
        </w:rPr>
        <w:t xml:space="preserve">6.3.3 </w:t>
      </w:r>
      <w:r w:rsidR="00975585" w:rsidRPr="004C3673">
        <w:rPr>
          <w:rFonts w:ascii="Arial" w:hAnsi="Arial" w:cs="Arial"/>
          <w:color w:val="002060"/>
        </w:rPr>
        <w:t xml:space="preserve">Regional Tourism Satellite Accounts produced by </w:t>
      </w:r>
      <w:proofErr w:type="gramStart"/>
      <w:r w:rsidR="00975585" w:rsidRPr="004C3673">
        <w:rPr>
          <w:rFonts w:ascii="Arial" w:hAnsi="Arial" w:cs="Arial"/>
          <w:color w:val="002060"/>
        </w:rPr>
        <w:t>TRA</w:t>
      </w:r>
      <w:proofErr w:type="gramEnd"/>
    </w:p>
    <w:p w14:paraId="3044CF97" w14:textId="77777777" w:rsidR="00975585" w:rsidRPr="004C3673" w:rsidRDefault="00975585" w:rsidP="00975585">
      <w:pPr>
        <w:rPr>
          <w:rFonts w:ascii="Arial" w:hAnsi="Arial" w:cs="Arial"/>
        </w:rPr>
      </w:pPr>
      <w:r w:rsidRPr="004C3673">
        <w:rPr>
          <w:rFonts w:ascii="Arial" w:hAnsi="Arial" w:cs="Arial"/>
        </w:rPr>
        <w:t xml:space="preserve">Extended TSA modelling is undertaken to further estimate the value of tourism to Victoria’s tourism regions and sub-regions.  This includes both direct and indirect estimates. All regional numbers </w:t>
      </w:r>
      <w:proofErr w:type="gramStart"/>
      <w:r w:rsidRPr="004C3673">
        <w:rPr>
          <w:rFonts w:ascii="Arial" w:hAnsi="Arial" w:cs="Arial"/>
        </w:rPr>
        <w:t>has</w:t>
      </w:r>
      <w:proofErr w:type="gramEnd"/>
      <w:r w:rsidRPr="004C3673">
        <w:rPr>
          <w:rFonts w:ascii="Arial" w:hAnsi="Arial" w:cs="Arial"/>
        </w:rPr>
        <w:t xml:space="preserve"> been calibrated so they align to the state TSA numbers produced by TRA and are comparable. </w:t>
      </w:r>
    </w:p>
    <w:p w14:paraId="7B50A877" w14:textId="24B22488" w:rsidR="00331481" w:rsidRPr="004C3673" w:rsidRDefault="00975585" w:rsidP="00975585">
      <w:pPr>
        <w:rPr>
          <w:rStyle w:val="markedcontent"/>
          <w:rFonts w:ascii="Arial" w:hAnsi="Arial" w:cs="Arial"/>
        </w:rPr>
      </w:pPr>
      <w:r w:rsidRPr="004C3673">
        <w:rPr>
          <w:rFonts w:ascii="Arial" w:hAnsi="Arial" w:cs="Arial"/>
        </w:rPr>
        <w:lastRenderedPageBreak/>
        <w:t xml:space="preserve">More detailed information about Regional Tourism Satellite Accounts is available from </w:t>
      </w:r>
      <w:hyperlink r:id="rId20" w:history="1">
        <w:r w:rsidRPr="009E2877">
          <w:rPr>
            <w:rStyle w:val="Hyperlink"/>
            <w:rFonts w:ascii="Arial" w:hAnsi="Arial" w:cs="Arial"/>
          </w:rPr>
          <w:t xml:space="preserve">Tourism Research Australia </w:t>
        </w:r>
      </w:hyperlink>
      <w:r w:rsidRPr="004C3673">
        <w:rPr>
          <w:rFonts w:ascii="Arial" w:hAnsi="Arial" w:cs="Arial"/>
        </w:rPr>
        <w:t>.</w:t>
      </w:r>
    </w:p>
    <w:p w14:paraId="6366CD9F" w14:textId="77777777" w:rsidR="009A7271" w:rsidRPr="009A7271" w:rsidRDefault="009A7271" w:rsidP="009A7271">
      <w:pPr>
        <w:rPr>
          <w:sz w:val="8"/>
          <w:szCs w:val="8"/>
        </w:rPr>
      </w:pPr>
    </w:p>
    <w:p w14:paraId="474CD794" w14:textId="478C10A1" w:rsidR="00CB2497" w:rsidRPr="004C3673" w:rsidRDefault="00AB2377" w:rsidP="00AB2377">
      <w:pPr>
        <w:pStyle w:val="Heading2"/>
        <w:rPr>
          <w:rFonts w:ascii="Arial" w:hAnsi="Arial" w:cs="Arial"/>
        </w:rPr>
      </w:pPr>
      <w:bookmarkStart w:id="42" w:name="_Toc167188615"/>
      <w:r>
        <w:rPr>
          <w:rFonts w:ascii="Arial" w:hAnsi="Arial" w:cs="Arial"/>
        </w:rPr>
        <w:t xml:space="preserve">6.4 </w:t>
      </w:r>
      <w:r w:rsidR="00CB2497" w:rsidRPr="004C3673">
        <w:rPr>
          <w:rFonts w:ascii="Arial" w:hAnsi="Arial" w:cs="Arial"/>
        </w:rPr>
        <w:t>Data limitations</w:t>
      </w:r>
      <w:r w:rsidR="00511DA1" w:rsidRPr="004C3673">
        <w:rPr>
          <w:rFonts w:ascii="Arial" w:hAnsi="Arial" w:cs="Arial"/>
        </w:rPr>
        <w:t xml:space="preserve"> of TSA</w:t>
      </w:r>
      <w:bookmarkEnd w:id="42"/>
    </w:p>
    <w:p w14:paraId="2248BFF8" w14:textId="77777777" w:rsidR="009862F5" w:rsidRPr="007A606A" w:rsidRDefault="009862F5" w:rsidP="00591A8B">
      <w:pPr>
        <w:rPr>
          <w:rFonts w:ascii="Arial" w:hAnsi="Arial" w:cs="Arial"/>
          <w:sz w:val="4"/>
          <w:szCs w:val="4"/>
        </w:rPr>
      </w:pPr>
    </w:p>
    <w:p w14:paraId="69F71198" w14:textId="26303407" w:rsidR="00CB2497" w:rsidRPr="004C3673" w:rsidRDefault="00CB2497" w:rsidP="00591A8B">
      <w:pPr>
        <w:rPr>
          <w:rFonts w:ascii="Arial" w:hAnsi="Arial" w:cs="Arial"/>
        </w:rPr>
      </w:pPr>
      <w:r w:rsidRPr="004C3673">
        <w:rPr>
          <w:rFonts w:ascii="Arial" w:hAnsi="Arial" w:cs="Arial"/>
        </w:rPr>
        <w:t xml:space="preserve">TSA includes best estimates based on the internationally recognised and accepted methodology. Estimates of economic contribution are derived from assumptions of complex interactions amongst all components of the economy which change over time. Users should exercise some caution in the use and interpretation of the results. </w:t>
      </w:r>
    </w:p>
    <w:p w14:paraId="3DBB89CC" w14:textId="23A58890" w:rsidR="003E09B4" w:rsidRPr="004C3673" w:rsidRDefault="00FE172B" w:rsidP="003E09B4">
      <w:pPr>
        <w:rPr>
          <w:rFonts w:ascii="Arial" w:hAnsi="Arial" w:cs="Arial"/>
        </w:rPr>
      </w:pPr>
      <w:r>
        <w:rPr>
          <w:rFonts w:ascii="Arial" w:hAnsi="Arial" w:cs="Arial"/>
        </w:rPr>
        <w:t xml:space="preserve">Recent data changes </w:t>
      </w:r>
    </w:p>
    <w:p w14:paraId="02D19ADA" w14:textId="77777777" w:rsidR="00FE172B" w:rsidRDefault="00FE172B" w:rsidP="00BE1D31">
      <w:pPr>
        <w:pStyle w:val="ListParagraph"/>
        <w:numPr>
          <w:ilvl w:val="0"/>
          <w:numId w:val="12"/>
        </w:numPr>
        <w:rPr>
          <w:rFonts w:ascii="Arial" w:hAnsi="Arial" w:cs="Arial"/>
        </w:rPr>
      </w:pPr>
      <w:r w:rsidRPr="00FE172B">
        <w:rPr>
          <w:rFonts w:ascii="Arial" w:hAnsi="Arial" w:cs="Arial"/>
        </w:rPr>
        <w:t xml:space="preserve">ABS has implemented changes to the methodology of deriving tourism output at basic prices, tourism taxes on products, tourism margins and tourism imports. As a result, revision to the data at national level has been applied to previous annual coefficient benchmark i.e. 2019-20. These revisions have also reflected changes in State Tourism Satellite Account estimates from 2019-20 to 2021-22 published in the State Tourism Satellite Account, 2021-22 publication. </w:t>
      </w:r>
    </w:p>
    <w:p w14:paraId="7112882D" w14:textId="2D2CFD89" w:rsidR="009A7271" w:rsidRPr="0065181E" w:rsidRDefault="00FE172B" w:rsidP="00BE1D31">
      <w:pPr>
        <w:pStyle w:val="ListParagraph"/>
        <w:numPr>
          <w:ilvl w:val="0"/>
          <w:numId w:val="12"/>
        </w:numPr>
        <w:rPr>
          <w:rFonts w:ascii="Arial" w:hAnsi="Arial" w:cs="Arial"/>
        </w:rPr>
      </w:pPr>
      <w:r w:rsidRPr="00FE172B">
        <w:rPr>
          <w:rFonts w:ascii="Arial" w:hAnsi="Arial" w:cs="Arial"/>
        </w:rPr>
        <w:t>Since 2021-22, ABS has adopted ‘tourism filled jobs’ as the standard metric for reporting tourism employment. The 2022-23 STSA also uses this metric for the second time.</w:t>
      </w:r>
      <w:r>
        <w:t xml:space="preserve"> </w:t>
      </w:r>
    </w:p>
    <w:p w14:paraId="7E4C9264" w14:textId="77777777" w:rsidR="0065181E" w:rsidRDefault="0065181E" w:rsidP="0065181E">
      <w:pPr>
        <w:rPr>
          <w:rFonts w:ascii="Arial" w:hAnsi="Arial" w:cs="Arial"/>
          <w:lang w:val="en-US"/>
        </w:rPr>
      </w:pPr>
      <w:r w:rsidRPr="0065181E">
        <w:rPr>
          <w:rFonts w:ascii="Arial" w:hAnsi="Arial" w:cs="Arial"/>
          <w:lang w:val="en-US"/>
        </w:rPr>
        <w:t>Due to various data input / methodology changes, the most recent TSA results should only be compared to the revised time series to ensure like-for-like comparisons.</w:t>
      </w:r>
    </w:p>
    <w:p w14:paraId="0ACEBB5A" w14:textId="77777777" w:rsidR="0065181E" w:rsidRPr="0065181E" w:rsidRDefault="0065181E" w:rsidP="0065181E">
      <w:pPr>
        <w:rPr>
          <w:sz w:val="8"/>
          <w:szCs w:val="8"/>
        </w:rPr>
      </w:pPr>
    </w:p>
    <w:p w14:paraId="21E0D4B8" w14:textId="21D12F5B" w:rsidR="00875993" w:rsidRPr="004C3673" w:rsidRDefault="00AB2377" w:rsidP="00875993">
      <w:pPr>
        <w:pStyle w:val="Heading2"/>
        <w:rPr>
          <w:rFonts w:ascii="Arial" w:hAnsi="Arial" w:cs="Arial"/>
        </w:rPr>
      </w:pPr>
      <w:bookmarkStart w:id="43" w:name="_Toc167188616"/>
      <w:r w:rsidRPr="00FE172B">
        <w:rPr>
          <w:rFonts w:ascii="Arial" w:hAnsi="Arial" w:cs="Arial"/>
          <w:color w:val="002060"/>
        </w:rPr>
        <w:t xml:space="preserve">6.5 </w:t>
      </w:r>
      <w:r w:rsidR="00875993" w:rsidRPr="00FE172B">
        <w:rPr>
          <w:rFonts w:ascii="Arial" w:hAnsi="Arial" w:cs="Arial"/>
          <w:color w:val="002060"/>
        </w:rPr>
        <w:t>Key TSA metrics</w:t>
      </w:r>
      <w:bookmarkEnd w:id="43"/>
    </w:p>
    <w:p w14:paraId="226309C6" w14:textId="77777777" w:rsidR="00875993" w:rsidRPr="004C3673" w:rsidRDefault="00875993" w:rsidP="00BE1D31">
      <w:pPr>
        <w:pStyle w:val="ListParagraph"/>
        <w:numPr>
          <w:ilvl w:val="0"/>
          <w:numId w:val="2"/>
        </w:numPr>
        <w:spacing w:before="120" w:after="120"/>
        <w:ind w:left="357" w:hanging="357"/>
        <w:contextualSpacing w:val="0"/>
        <w:rPr>
          <w:rFonts w:ascii="Arial" w:hAnsi="Arial" w:cs="Arial"/>
        </w:rPr>
      </w:pPr>
      <w:r w:rsidRPr="004C3673">
        <w:rPr>
          <w:rFonts w:ascii="Arial" w:hAnsi="Arial" w:cs="Arial"/>
        </w:rPr>
        <w:t xml:space="preserve">Gross State Product (GSP) or Gross Regional Product (GRP): these are the equivalent measures to Gross Domestic Product (GDP) and are used to measure the value of tourism to the economy. They measure the total value of tourism goods and services produced over a specific </w:t>
      </w:r>
      <w:proofErr w:type="gramStart"/>
      <w:r w:rsidRPr="004C3673">
        <w:rPr>
          <w:rFonts w:ascii="Arial" w:hAnsi="Arial" w:cs="Arial"/>
        </w:rPr>
        <w:t>time period</w:t>
      </w:r>
      <w:proofErr w:type="gramEnd"/>
      <w:r w:rsidRPr="004C3673">
        <w:rPr>
          <w:rFonts w:ascii="Arial" w:hAnsi="Arial" w:cs="Arial"/>
        </w:rPr>
        <w:t xml:space="preserve">. </w:t>
      </w:r>
    </w:p>
    <w:p w14:paraId="4C7AA8E7" w14:textId="77777777" w:rsidR="00875993" w:rsidRPr="004C3673" w:rsidRDefault="00875993" w:rsidP="00BE1D31">
      <w:pPr>
        <w:pStyle w:val="ListParagraph"/>
        <w:numPr>
          <w:ilvl w:val="0"/>
          <w:numId w:val="2"/>
        </w:numPr>
        <w:spacing w:before="120" w:after="120"/>
        <w:ind w:left="357" w:hanging="357"/>
        <w:contextualSpacing w:val="0"/>
        <w:rPr>
          <w:rFonts w:ascii="Arial" w:hAnsi="Arial" w:cs="Arial"/>
        </w:rPr>
      </w:pPr>
      <w:r w:rsidRPr="004C3673">
        <w:rPr>
          <w:rFonts w:ascii="Arial" w:hAnsi="Arial" w:cs="Arial"/>
        </w:rPr>
        <w:t>Gross Value Added (GVA): considered the most accurate measure of the contribution of the industry to the economy. It includes the total labour income and capital revenue received by the industry and the net taxes that government received from the production. The direct estimates of GVA are directly comparable with the GVA of ‘conventional’ industries such as mining and manufacturing.</w:t>
      </w:r>
    </w:p>
    <w:p w14:paraId="18AE73B2" w14:textId="41DD0101" w:rsidR="00875993" w:rsidRPr="004C3673" w:rsidRDefault="00875993" w:rsidP="00BE1D31">
      <w:pPr>
        <w:pStyle w:val="ListParagraph"/>
        <w:numPr>
          <w:ilvl w:val="0"/>
          <w:numId w:val="2"/>
        </w:numPr>
        <w:spacing w:before="120" w:after="120"/>
        <w:ind w:left="357" w:hanging="357"/>
        <w:contextualSpacing w:val="0"/>
        <w:rPr>
          <w:rFonts w:ascii="Arial" w:hAnsi="Arial" w:cs="Arial"/>
        </w:rPr>
      </w:pPr>
      <w:r w:rsidRPr="004C3673">
        <w:rPr>
          <w:rFonts w:ascii="Arial" w:hAnsi="Arial" w:cs="Arial"/>
          <w:lang w:val="en-US"/>
        </w:rPr>
        <w:t xml:space="preserve">Filled jobs: </w:t>
      </w:r>
      <w:r w:rsidRPr="004C3673">
        <w:rPr>
          <w:rFonts w:ascii="Arial" w:hAnsi="Arial" w:cs="Arial"/>
        </w:rPr>
        <w:t>refer to all positions of employment that are currently filled (including self-employment). Filled jobs can be measured from either household sources (such as the Labour Force Survey), or business sources (such as the Economic Activity Survey).</w:t>
      </w:r>
      <w:r w:rsidRPr="004C3673">
        <w:rPr>
          <w:rFonts w:ascii="Arial" w:hAnsi="Arial" w:cs="Arial"/>
          <w:lang w:val="en-US"/>
        </w:rPr>
        <w:t xml:space="preserve"> </w:t>
      </w:r>
    </w:p>
    <w:p w14:paraId="3D74C851" w14:textId="0E44A564" w:rsidR="00245970" w:rsidRDefault="00875993" w:rsidP="00BE1D31">
      <w:pPr>
        <w:pStyle w:val="ListParagraph"/>
        <w:numPr>
          <w:ilvl w:val="0"/>
          <w:numId w:val="2"/>
        </w:numPr>
        <w:spacing w:before="120" w:after="120"/>
        <w:ind w:left="357" w:hanging="357"/>
        <w:contextualSpacing w:val="0"/>
        <w:rPr>
          <w:rFonts w:ascii="Arial" w:hAnsi="Arial" w:cs="Arial"/>
          <w:lang w:val="en-US"/>
        </w:rPr>
      </w:pPr>
      <w:r w:rsidRPr="004C3673">
        <w:rPr>
          <w:rFonts w:ascii="Arial" w:hAnsi="Arial" w:cs="Arial"/>
          <w:lang w:val="en-US"/>
        </w:rPr>
        <w:t xml:space="preserve">Tourism consumption represents the demand side of tourism. It is the total value of goods and services consumed by domestic, </w:t>
      </w:r>
      <w:proofErr w:type="gramStart"/>
      <w:r w:rsidRPr="004C3673">
        <w:rPr>
          <w:rFonts w:ascii="Arial" w:hAnsi="Arial" w:cs="Arial"/>
          <w:lang w:val="en-US"/>
        </w:rPr>
        <w:t>inbound</w:t>
      </w:r>
      <w:proofErr w:type="gramEnd"/>
      <w:r w:rsidRPr="004C3673">
        <w:rPr>
          <w:rFonts w:ascii="Arial" w:hAnsi="Arial" w:cs="Arial"/>
          <w:lang w:val="en-US"/>
        </w:rPr>
        <w:t xml:space="preserve"> and outbound visitors. It consists of tourism expenditure plus imputed consumption on tourism related products. It is measured as the price the visitor pays including all taxe</w:t>
      </w:r>
      <w:r w:rsidR="00976F81" w:rsidRPr="004C3673">
        <w:rPr>
          <w:rFonts w:ascii="Arial" w:hAnsi="Arial" w:cs="Arial"/>
          <w:lang w:val="en-US"/>
        </w:rPr>
        <w:t>s subsidies and sales margins (i.e., purchasers’ prices).</w:t>
      </w:r>
    </w:p>
    <w:p w14:paraId="4FB5D973" w14:textId="77777777" w:rsidR="00C33B90" w:rsidRPr="00C33B90" w:rsidRDefault="00C33B90" w:rsidP="00C33B90">
      <w:pPr>
        <w:spacing w:before="120" w:after="120"/>
        <w:rPr>
          <w:rFonts w:ascii="Arial" w:hAnsi="Arial" w:cs="Arial"/>
          <w:sz w:val="8"/>
          <w:szCs w:val="8"/>
          <w:lang w:val="en-US"/>
        </w:rPr>
      </w:pPr>
    </w:p>
    <w:p w14:paraId="72C237A1" w14:textId="60753099" w:rsidR="00AC0EEE" w:rsidRPr="00F906AA" w:rsidRDefault="00AB2377" w:rsidP="00BE1D31">
      <w:pPr>
        <w:pStyle w:val="Heading1"/>
        <w:numPr>
          <w:ilvl w:val="0"/>
          <w:numId w:val="11"/>
        </w:numPr>
        <w:ind w:left="284" w:hanging="284"/>
        <w:rPr>
          <w:rFonts w:ascii="Arial" w:hAnsi="Arial" w:cs="Arial"/>
          <w:color w:val="002060"/>
        </w:rPr>
      </w:pPr>
      <w:r w:rsidRPr="00F906AA">
        <w:rPr>
          <w:rFonts w:ascii="Arial" w:hAnsi="Arial" w:cs="Arial"/>
          <w:color w:val="002060"/>
        </w:rPr>
        <w:t xml:space="preserve"> </w:t>
      </w:r>
      <w:bookmarkStart w:id="44" w:name="_Toc167188617"/>
      <w:r w:rsidR="00AC0EEE" w:rsidRPr="00F906AA">
        <w:rPr>
          <w:rFonts w:ascii="Arial" w:hAnsi="Arial" w:cs="Arial"/>
          <w:color w:val="002060"/>
        </w:rPr>
        <w:t xml:space="preserve">Tourism </w:t>
      </w:r>
      <w:r w:rsidR="007A16E5" w:rsidRPr="00F906AA">
        <w:rPr>
          <w:rFonts w:ascii="Arial" w:hAnsi="Arial" w:cs="Arial"/>
          <w:color w:val="002060"/>
        </w:rPr>
        <w:t>b</w:t>
      </w:r>
      <w:r w:rsidR="00AC0EEE" w:rsidRPr="00F906AA">
        <w:rPr>
          <w:rFonts w:ascii="Arial" w:hAnsi="Arial" w:cs="Arial"/>
          <w:color w:val="002060"/>
        </w:rPr>
        <w:t xml:space="preserve">usiness </w:t>
      </w:r>
      <w:r w:rsidR="007A16E5" w:rsidRPr="00F906AA">
        <w:rPr>
          <w:rFonts w:ascii="Arial" w:hAnsi="Arial" w:cs="Arial"/>
          <w:color w:val="002060"/>
        </w:rPr>
        <w:t>c</w:t>
      </w:r>
      <w:r w:rsidR="00AC0EEE" w:rsidRPr="00F906AA">
        <w:rPr>
          <w:rFonts w:ascii="Arial" w:hAnsi="Arial" w:cs="Arial"/>
          <w:color w:val="002060"/>
        </w:rPr>
        <w:t>ounts</w:t>
      </w:r>
      <w:bookmarkEnd w:id="44"/>
    </w:p>
    <w:p w14:paraId="32E956C1" w14:textId="77777777" w:rsidR="00AC0EEE" w:rsidRPr="004C3673" w:rsidRDefault="00AC0EEE" w:rsidP="00D96699">
      <w:pPr>
        <w:spacing w:before="120" w:after="120"/>
        <w:rPr>
          <w:rFonts w:ascii="Arial" w:hAnsi="Arial" w:cs="Arial"/>
          <w:lang w:val="en-US"/>
        </w:rPr>
      </w:pPr>
      <w:r w:rsidRPr="004C3673">
        <w:rPr>
          <w:rFonts w:ascii="Arial" w:hAnsi="Arial" w:cs="Arial"/>
          <w:lang w:val="en-US"/>
        </w:rPr>
        <w:t>TRA produces an annual report on the number of tourism businesses in Australia using information supplied by the ABS. This report includes information on the size of tourism businesses and a split of the geographic location by tourism region. This helps to better understand the composition of the tourism industry, and its capacity to keep pace with demand.</w:t>
      </w:r>
    </w:p>
    <w:p w14:paraId="6D8794BD" w14:textId="164456DA" w:rsidR="00AC0EEE" w:rsidRPr="00F906AA" w:rsidRDefault="00AB2377" w:rsidP="00245970">
      <w:pPr>
        <w:pStyle w:val="Heading2"/>
        <w:spacing w:before="120" w:after="120"/>
        <w:rPr>
          <w:rFonts w:ascii="Arial" w:hAnsi="Arial" w:cs="Arial"/>
          <w:color w:val="002060"/>
        </w:rPr>
      </w:pPr>
      <w:bookmarkStart w:id="45" w:name="_Toc167188618"/>
      <w:r w:rsidRPr="00F906AA">
        <w:rPr>
          <w:rFonts w:ascii="Arial" w:hAnsi="Arial" w:cs="Arial"/>
          <w:color w:val="002060"/>
        </w:rPr>
        <w:lastRenderedPageBreak/>
        <w:t xml:space="preserve">7.1 </w:t>
      </w:r>
      <w:r w:rsidR="00511DA1" w:rsidRPr="00F906AA">
        <w:rPr>
          <w:rFonts w:ascii="Arial" w:hAnsi="Arial" w:cs="Arial"/>
          <w:color w:val="002060"/>
        </w:rPr>
        <w:t xml:space="preserve">Business </w:t>
      </w:r>
      <w:r w:rsidR="007A16E5" w:rsidRPr="00F906AA">
        <w:rPr>
          <w:rFonts w:ascii="Arial" w:hAnsi="Arial" w:cs="Arial"/>
          <w:color w:val="002060"/>
        </w:rPr>
        <w:t>c</w:t>
      </w:r>
      <w:r w:rsidR="00511DA1" w:rsidRPr="00F906AA">
        <w:rPr>
          <w:rFonts w:ascii="Arial" w:hAnsi="Arial" w:cs="Arial"/>
          <w:color w:val="002060"/>
        </w:rPr>
        <w:t>ounts m</w:t>
      </w:r>
      <w:r w:rsidR="00AC0EEE" w:rsidRPr="00F906AA">
        <w:rPr>
          <w:rFonts w:ascii="Arial" w:hAnsi="Arial" w:cs="Arial"/>
          <w:color w:val="002060"/>
        </w:rPr>
        <w:t>ethodology</w:t>
      </w:r>
      <w:bookmarkEnd w:id="45"/>
    </w:p>
    <w:p w14:paraId="05620316" w14:textId="77777777" w:rsidR="00AC0EEE" w:rsidRPr="004C3673" w:rsidRDefault="00AC0EEE" w:rsidP="00BE1D31">
      <w:pPr>
        <w:pStyle w:val="ListParagraph"/>
        <w:numPr>
          <w:ilvl w:val="0"/>
          <w:numId w:val="2"/>
        </w:numPr>
        <w:spacing w:before="120" w:after="120"/>
        <w:contextualSpacing w:val="0"/>
        <w:rPr>
          <w:rFonts w:ascii="Arial" w:hAnsi="Arial" w:cs="Arial"/>
          <w:lang w:val="en-US"/>
        </w:rPr>
      </w:pPr>
      <w:r w:rsidRPr="004C3673">
        <w:rPr>
          <w:rFonts w:ascii="Arial" w:hAnsi="Arial" w:cs="Arial"/>
          <w:lang w:val="en-US"/>
        </w:rPr>
        <w:t xml:space="preserve">The data used to produce these counts are extracted from the Australian Bureau of Statistics Business Register (ABSBR). The ABSBR is populated using administrative data from Australian Business Number (ABN) registrations recorded in the Australian Business Register (ABR), and business data from the Australian Taxation Office (ATO). </w:t>
      </w:r>
    </w:p>
    <w:p w14:paraId="1C1D102D" w14:textId="4BEC070C" w:rsidR="00AC0EEE" w:rsidRPr="004C3673" w:rsidRDefault="00AC0EEE" w:rsidP="00BE1D31">
      <w:pPr>
        <w:pStyle w:val="ListParagraph"/>
        <w:numPr>
          <w:ilvl w:val="0"/>
          <w:numId w:val="2"/>
        </w:numPr>
        <w:spacing w:before="120" w:after="120"/>
        <w:contextualSpacing w:val="0"/>
        <w:rPr>
          <w:rFonts w:ascii="Arial" w:hAnsi="Arial" w:cs="Arial"/>
          <w:lang w:val="en-US"/>
        </w:rPr>
      </w:pPr>
      <w:r w:rsidRPr="004C3673">
        <w:rPr>
          <w:rFonts w:ascii="Arial" w:hAnsi="Arial" w:cs="Arial"/>
          <w:lang w:val="en-US"/>
        </w:rPr>
        <w:t xml:space="preserve">For the purposes of this </w:t>
      </w:r>
      <w:r w:rsidR="007A16E5" w:rsidRPr="004C3673">
        <w:rPr>
          <w:rFonts w:ascii="Arial" w:hAnsi="Arial" w:cs="Arial"/>
          <w:lang w:val="en-US"/>
        </w:rPr>
        <w:t>t</w:t>
      </w:r>
      <w:r w:rsidRPr="004C3673">
        <w:rPr>
          <w:rFonts w:ascii="Arial" w:hAnsi="Arial" w:cs="Arial"/>
          <w:lang w:val="en-US"/>
        </w:rPr>
        <w:t xml:space="preserve">ourism </w:t>
      </w:r>
      <w:r w:rsidR="007A16E5" w:rsidRPr="004C3673">
        <w:rPr>
          <w:rFonts w:ascii="Arial" w:hAnsi="Arial" w:cs="Arial"/>
          <w:lang w:val="en-US"/>
        </w:rPr>
        <w:t>b</w:t>
      </w:r>
      <w:r w:rsidRPr="004C3673">
        <w:rPr>
          <w:rFonts w:ascii="Arial" w:hAnsi="Arial" w:cs="Arial"/>
          <w:lang w:val="en-US"/>
        </w:rPr>
        <w:t>usinesses in Australia report, a business is defined as a legal entity engaging in productive activity and/or other forms of economic activity in the market sector. Businesses are defined as engaging in productive activity where they have a Goods and Services Tax (GST) role and are actively remitting GST through Business Activity Statements (BAS).</w:t>
      </w:r>
    </w:p>
    <w:p w14:paraId="695C8D1F" w14:textId="77777777" w:rsidR="00621972" w:rsidRPr="004C3673" w:rsidRDefault="00AC0EEE" w:rsidP="00BE1D31">
      <w:pPr>
        <w:pStyle w:val="ListParagraph"/>
        <w:numPr>
          <w:ilvl w:val="0"/>
          <w:numId w:val="2"/>
        </w:numPr>
        <w:spacing w:before="120" w:after="120"/>
        <w:contextualSpacing w:val="0"/>
        <w:rPr>
          <w:rFonts w:ascii="Arial" w:hAnsi="Arial" w:cs="Arial"/>
          <w:lang w:val="en-US"/>
        </w:rPr>
      </w:pPr>
      <w:r w:rsidRPr="004C3673">
        <w:rPr>
          <w:rFonts w:ascii="Arial" w:hAnsi="Arial" w:cs="Arial"/>
          <w:lang w:val="en-US"/>
        </w:rPr>
        <w:t xml:space="preserve">Counts of businesses include only actively trading businesses in the Australian market sector through to the end of the financial year. </w:t>
      </w:r>
    </w:p>
    <w:p w14:paraId="4EAF0A47" w14:textId="47B44234" w:rsidR="00AC0EEE" w:rsidRPr="004C3673" w:rsidRDefault="00AC0EEE" w:rsidP="00BE1D31">
      <w:pPr>
        <w:pStyle w:val="ListParagraph"/>
        <w:numPr>
          <w:ilvl w:val="0"/>
          <w:numId w:val="2"/>
        </w:numPr>
        <w:spacing w:before="120" w:after="120"/>
        <w:contextualSpacing w:val="0"/>
        <w:rPr>
          <w:rFonts w:ascii="Arial" w:hAnsi="Arial" w:cs="Arial"/>
          <w:lang w:val="en-US"/>
        </w:rPr>
      </w:pPr>
      <w:r w:rsidRPr="004C3673">
        <w:rPr>
          <w:rFonts w:ascii="Arial" w:hAnsi="Arial" w:cs="Arial"/>
          <w:lang w:val="en-US"/>
        </w:rPr>
        <w:t xml:space="preserve">Actively trading businesses are: </w:t>
      </w:r>
    </w:p>
    <w:p w14:paraId="2C2A1AEA" w14:textId="77777777" w:rsidR="00AC0EEE" w:rsidRPr="004C3673" w:rsidRDefault="00AC0EEE" w:rsidP="00BE1D31">
      <w:pPr>
        <w:pStyle w:val="ListParagraph"/>
        <w:numPr>
          <w:ilvl w:val="0"/>
          <w:numId w:val="3"/>
        </w:numPr>
        <w:spacing w:before="120" w:after="120"/>
        <w:contextualSpacing w:val="0"/>
        <w:rPr>
          <w:rFonts w:ascii="Arial" w:hAnsi="Arial" w:cs="Arial"/>
          <w:lang w:val="en-US"/>
        </w:rPr>
      </w:pPr>
      <w:r w:rsidRPr="004C3673">
        <w:rPr>
          <w:rFonts w:ascii="Arial" w:hAnsi="Arial" w:cs="Arial"/>
          <w:lang w:val="en-US"/>
        </w:rPr>
        <w:t xml:space="preserve">ABNs from the non-profiled population that are actively remitting Goods and Services Tax (GST) – most of the businesses in the ABSBR are in this group and most have simple structures that are suitable for ABS statistical purposes at the ABN level. One ABN equates to one business. </w:t>
      </w:r>
    </w:p>
    <w:p w14:paraId="665743AB" w14:textId="77777777" w:rsidR="00AC0EEE" w:rsidRPr="004C3673" w:rsidRDefault="00AC0EEE" w:rsidP="00BE1D31">
      <w:pPr>
        <w:pStyle w:val="ListParagraph"/>
        <w:numPr>
          <w:ilvl w:val="0"/>
          <w:numId w:val="3"/>
        </w:numPr>
        <w:spacing w:before="120" w:after="120"/>
        <w:contextualSpacing w:val="0"/>
        <w:rPr>
          <w:rFonts w:ascii="Arial" w:hAnsi="Arial" w:cs="Arial"/>
          <w:lang w:val="en-US"/>
        </w:rPr>
      </w:pPr>
      <w:r w:rsidRPr="004C3673">
        <w:rPr>
          <w:rFonts w:ascii="Arial" w:hAnsi="Arial" w:cs="Arial"/>
          <w:lang w:val="en-US"/>
        </w:rPr>
        <w:t xml:space="preserve">Types of Activity Unit (TAUs) from the profiled population – the small number of businesses/groups of businesses that are large, </w:t>
      </w:r>
      <w:proofErr w:type="gramStart"/>
      <w:r w:rsidRPr="004C3673">
        <w:rPr>
          <w:rFonts w:ascii="Arial" w:hAnsi="Arial" w:cs="Arial"/>
          <w:lang w:val="en-US"/>
        </w:rPr>
        <w:t>complex</w:t>
      </w:r>
      <w:proofErr w:type="gramEnd"/>
      <w:r w:rsidRPr="004C3673">
        <w:rPr>
          <w:rFonts w:ascii="Arial" w:hAnsi="Arial" w:cs="Arial"/>
          <w:lang w:val="en-US"/>
        </w:rPr>
        <w:t xml:space="preserve"> and diverse and for which the ABS maintains its own economic unit structure. </w:t>
      </w:r>
    </w:p>
    <w:p w14:paraId="3CCBEDF5" w14:textId="697BABF7" w:rsidR="00AC0EEE" w:rsidRDefault="00AC0EEE" w:rsidP="00BE1D31">
      <w:pPr>
        <w:pStyle w:val="ListParagraph"/>
        <w:numPr>
          <w:ilvl w:val="0"/>
          <w:numId w:val="2"/>
        </w:numPr>
        <w:spacing w:before="120" w:after="120"/>
        <w:contextualSpacing w:val="0"/>
        <w:rPr>
          <w:rFonts w:ascii="Arial" w:hAnsi="Arial" w:cs="Arial"/>
          <w:lang w:val="en-US"/>
        </w:rPr>
      </w:pPr>
      <w:r w:rsidRPr="004C3673">
        <w:rPr>
          <w:rFonts w:ascii="Arial" w:hAnsi="Arial" w:cs="Arial"/>
          <w:lang w:val="en-US"/>
        </w:rPr>
        <w:t xml:space="preserve">Employing businesses are split into four employment sizes - </w:t>
      </w:r>
      <w:r w:rsidR="00DF568D" w:rsidRPr="004C3673">
        <w:rPr>
          <w:rFonts w:ascii="Arial" w:hAnsi="Arial" w:cs="Arial"/>
          <w:lang w:val="en-US"/>
        </w:rPr>
        <w:t>m</w:t>
      </w:r>
      <w:r w:rsidRPr="004C3673">
        <w:rPr>
          <w:rFonts w:ascii="Arial" w:hAnsi="Arial" w:cs="Arial"/>
          <w:lang w:val="en-US"/>
        </w:rPr>
        <w:t xml:space="preserve">icro (1–4 employees); </w:t>
      </w:r>
      <w:r w:rsidR="00DF568D" w:rsidRPr="004C3673">
        <w:rPr>
          <w:rFonts w:ascii="Arial" w:hAnsi="Arial" w:cs="Arial"/>
          <w:lang w:val="en-US"/>
        </w:rPr>
        <w:t>s</w:t>
      </w:r>
      <w:r w:rsidRPr="004C3673">
        <w:rPr>
          <w:rFonts w:ascii="Arial" w:hAnsi="Arial" w:cs="Arial"/>
          <w:lang w:val="en-US"/>
        </w:rPr>
        <w:t xml:space="preserve">mall (5–19 employees); </w:t>
      </w:r>
      <w:r w:rsidR="00DF568D" w:rsidRPr="004C3673">
        <w:rPr>
          <w:rFonts w:ascii="Arial" w:hAnsi="Arial" w:cs="Arial"/>
          <w:lang w:val="en-US"/>
        </w:rPr>
        <w:t>m</w:t>
      </w:r>
      <w:r w:rsidRPr="004C3673">
        <w:rPr>
          <w:rFonts w:ascii="Arial" w:hAnsi="Arial" w:cs="Arial"/>
          <w:lang w:val="en-US"/>
        </w:rPr>
        <w:t xml:space="preserve">edium (20–199 employees); and </w:t>
      </w:r>
      <w:r w:rsidR="00DF568D" w:rsidRPr="004C3673">
        <w:rPr>
          <w:rFonts w:ascii="Arial" w:hAnsi="Arial" w:cs="Arial"/>
          <w:lang w:val="en-US"/>
        </w:rPr>
        <w:t>l</w:t>
      </w:r>
      <w:r w:rsidRPr="004C3673">
        <w:rPr>
          <w:rFonts w:ascii="Arial" w:hAnsi="Arial" w:cs="Arial"/>
          <w:lang w:val="en-US"/>
        </w:rPr>
        <w:t>arge (200+ employees).</w:t>
      </w:r>
    </w:p>
    <w:p w14:paraId="07DE9825" w14:textId="77777777" w:rsidR="00671A7B" w:rsidRPr="00671A7B" w:rsidRDefault="00671A7B" w:rsidP="00671A7B">
      <w:pPr>
        <w:spacing w:before="120" w:after="120"/>
        <w:rPr>
          <w:rFonts w:ascii="Arial" w:hAnsi="Arial" w:cs="Arial"/>
          <w:sz w:val="8"/>
          <w:szCs w:val="8"/>
          <w:lang w:val="en-US"/>
        </w:rPr>
      </w:pPr>
    </w:p>
    <w:p w14:paraId="4373747D" w14:textId="2742B7F0" w:rsidR="00FD1A7D" w:rsidRPr="00F906AA" w:rsidRDefault="00AB2377" w:rsidP="00245970">
      <w:pPr>
        <w:pStyle w:val="Heading2"/>
        <w:spacing w:before="120" w:after="120"/>
        <w:rPr>
          <w:rFonts w:ascii="Arial" w:hAnsi="Arial" w:cs="Arial"/>
          <w:color w:val="002060"/>
        </w:rPr>
      </w:pPr>
      <w:bookmarkStart w:id="46" w:name="_Toc167188619"/>
      <w:r w:rsidRPr="00F906AA">
        <w:rPr>
          <w:rFonts w:ascii="Arial" w:hAnsi="Arial" w:cs="Arial"/>
          <w:color w:val="002060"/>
        </w:rPr>
        <w:t xml:space="preserve">7.2 </w:t>
      </w:r>
      <w:r w:rsidR="00FD1A7D" w:rsidRPr="00F906AA">
        <w:rPr>
          <w:rFonts w:ascii="Arial" w:hAnsi="Arial" w:cs="Arial"/>
          <w:color w:val="002060"/>
        </w:rPr>
        <w:t>Data limitations</w:t>
      </w:r>
      <w:r w:rsidR="00511DA1" w:rsidRPr="00F906AA">
        <w:rPr>
          <w:rFonts w:ascii="Arial" w:hAnsi="Arial" w:cs="Arial"/>
          <w:color w:val="002060"/>
        </w:rPr>
        <w:t xml:space="preserve"> of </w:t>
      </w:r>
      <w:r w:rsidR="00846E0D" w:rsidRPr="00F906AA">
        <w:rPr>
          <w:rFonts w:ascii="Arial" w:hAnsi="Arial" w:cs="Arial"/>
          <w:color w:val="002060"/>
        </w:rPr>
        <w:t>b</w:t>
      </w:r>
      <w:r w:rsidR="00511DA1" w:rsidRPr="00F906AA">
        <w:rPr>
          <w:rFonts w:ascii="Arial" w:hAnsi="Arial" w:cs="Arial"/>
          <w:color w:val="002060"/>
        </w:rPr>
        <w:t xml:space="preserve">usiness </w:t>
      </w:r>
      <w:r w:rsidR="00846E0D" w:rsidRPr="00F906AA">
        <w:rPr>
          <w:rFonts w:ascii="Arial" w:hAnsi="Arial" w:cs="Arial"/>
          <w:color w:val="002060"/>
        </w:rPr>
        <w:t>c</w:t>
      </w:r>
      <w:r w:rsidR="00511DA1" w:rsidRPr="00F906AA">
        <w:rPr>
          <w:rFonts w:ascii="Arial" w:hAnsi="Arial" w:cs="Arial"/>
          <w:color w:val="002060"/>
        </w:rPr>
        <w:t>ounts</w:t>
      </w:r>
      <w:bookmarkEnd w:id="46"/>
    </w:p>
    <w:p w14:paraId="3F48C40A" w14:textId="45F4A692" w:rsidR="00FD1A7D" w:rsidRPr="004C3673" w:rsidRDefault="00FD1A7D" w:rsidP="00BE1D31">
      <w:pPr>
        <w:pStyle w:val="ListParagraph"/>
        <w:numPr>
          <w:ilvl w:val="0"/>
          <w:numId w:val="2"/>
        </w:numPr>
        <w:spacing w:before="120" w:after="120"/>
        <w:contextualSpacing w:val="0"/>
        <w:rPr>
          <w:rFonts w:ascii="Arial" w:hAnsi="Arial" w:cs="Arial"/>
          <w:lang w:val="en-US"/>
        </w:rPr>
      </w:pPr>
      <w:r w:rsidRPr="004C3673">
        <w:rPr>
          <w:rFonts w:ascii="Arial" w:hAnsi="Arial" w:cs="Arial"/>
          <w:lang w:val="en-US"/>
        </w:rPr>
        <w:t xml:space="preserve">Business related to an industry classified as a tourism industry in the </w:t>
      </w:r>
      <w:r w:rsidR="00846E0D" w:rsidRPr="004C3673">
        <w:rPr>
          <w:rFonts w:ascii="Arial" w:hAnsi="Arial" w:cs="Arial"/>
          <w:lang w:val="en-US"/>
        </w:rPr>
        <w:t>n</w:t>
      </w:r>
      <w:r w:rsidRPr="004C3673">
        <w:rPr>
          <w:rFonts w:ascii="Arial" w:hAnsi="Arial" w:cs="Arial"/>
          <w:lang w:val="en-US"/>
        </w:rPr>
        <w:t>ational Tourism Satellite Account.  As it is difficult to allocate a part of a business that serves tourists as opposed to non-tourists, all businesses in a tourism industry are considered tourism businesses.</w:t>
      </w:r>
    </w:p>
    <w:p w14:paraId="65958B4C" w14:textId="0A476496" w:rsidR="00FD1A7D" w:rsidRPr="004C3673" w:rsidRDefault="00FD1A7D" w:rsidP="00BE1D31">
      <w:pPr>
        <w:pStyle w:val="ListParagraph"/>
        <w:numPr>
          <w:ilvl w:val="0"/>
          <w:numId w:val="2"/>
        </w:numPr>
        <w:spacing w:before="120" w:after="120"/>
        <w:contextualSpacing w:val="0"/>
        <w:rPr>
          <w:rFonts w:ascii="Arial" w:hAnsi="Arial" w:cs="Arial"/>
          <w:lang w:val="en-US"/>
        </w:rPr>
      </w:pPr>
      <w:r w:rsidRPr="004C3673">
        <w:rPr>
          <w:rFonts w:ascii="Arial" w:hAnsi="Arial" w:cs="Arial"/>
          <w:lang w:val="en-US"/>
        </w:rPr>
        <w:t>When publishing data</w:t>
      </w:r>
      <w:r w:rsidR="006057D0">
        <w:rPr>
          <w:rFonts w:ascii="Arial" w:hAnsi="Arial" w:cs="Arial"/>
          <w:lang w:val="en-US"/>
        </w:rPr>
        <w:t>,</w:t>
      </w:r>
      <w:r w:rsidRPr="004C3673">
        <w:rPr>
          <w:rFonts w:ascii="Arial" w:hAnsi="Arial" w:cs="Arial"/>
          <w:lang w:val="en-US"/>
        </w:rPr>
        <w:t xml:space="preserve"> it can be necessary to suppress the data cells which contain very small counts to prevent the potential identification of individual businesses. This process is known as </w:t>
      </w:r>
      <w:proofErr w:type="spellStart"/>
      <w:r w:rsidRPr="004C3673">
        <w:rPr>
          <w:rFonts w:ascii="Arial" w:hAnsi="Arial" w:cs="Arial"/>
          <w:lang w:val="en-US"/>
        </w:rPr>
        <w:t>confidentialisation</w:t>
      </w:r>
      <w:proofErr w:type="spellEnd"/>
      <w:r w:rsidRPr="004C3673">
        <w:rPr>
          <w:rFonts w:ascii="Arial" w:hAnsi="Arial" w:cs="Arial"/>
          <w:lang w:val="en-US"/>
        </w:rPr>
        <w:t xml:space="preserve"> and can lead to data that differ from the estimates once aggregated. </w:t>
      </w:r>
    </w:p>
    <w:p w14:paraId="350DD061" w14:textId="53A0E0E5" w:rsidR="00FD1A7D" w:rsidRPr="006057D0" w:rsidRDefault="00FD1A7D" w:rsidP="00245970">
      <w:pPr>
        <w:spacing w:before="120" w:after="120"/>
        <w:rPr>
          <w:rStyle w:val="Hyperlink"/>
          <w:rFonts w:ascii="Arial" w:hAnsi="Arial" w:cs="Arial"/>
        </w:rPr>
      </w:pPr>
      <w:r w:rsidRPr="004C3673">
        <w:rPr>
          <w:rFonts w:ascii="Arial" w:hAnsi="Arial" w:cs="Arial"/>
        </w:rPr>
        <w:t xml:space="preserve">Further information on </w:t>
      </w:r>
      <w:r w:rsidR="003833B6" w:rsidRPr="004C3673">
        <w:rPr>
          <w:rFonts w:ascii="Arial" w:hAnsi="Arial" w:cs="Arial"/>
        </w:rPr>
        <w:t>t</w:t>
      </w:r>
      <w:r w:rsidRPr="004C3673">
        <w:rPr>
          <w:rFonts w:ascii="Arial" w:hAnsi="Arial" w:cs="Arial"/>
        </w:rPr>
        <w:t xml:space="preserve">ourism </w:t>
      </w:r>
      <w:r w:rsidR="003833B6" w:rsidRPr="004C3673">
        <w:rPr>
          <w:rFonts w:ascii="Arial" w:hAnsi="Arial" w:cs="Arial"/>
        </w:rPr>
        <w:t>b</w:t>
      </w:r>
      <w:r w:rsidRPr="004C3673">
        <w:rPr>
          <w:rFonts w:ascii="Arial" w:hAnsi="Arial" w:cs="Arial"/>
        </w:rPr>
        <w:t xml:space="preserve">usiness </w:t>
      </w:r>
      <w:r w:rsidR="003833B6" w:rsidRPr="004C3673">
        <w:rPr>
          <w:rFonts w:ascii="Arial" w:hAnsi="Arial" w:cs="Arial"/>
        </w:rPr>
        <w:t>c</w:t>
      </w:r>
      <w:r w:rsidRPr="004C3673">
        <w:rPr>
          <w:rFonts w:ascii="Arial" w:hAnsi="Arial" w:cs="Arial"/>
        </w:rPr>
        <w:t xml:space="preserve">ounts is available at </w:t>
      </w:r>
      <w:r w:rsidR="006057D0">
        <w:rPr>
          <w:rFonts w:ascii="Arial" w:hAnsi="Arial" w:cs="Arial"/>
        </w:rPr>
        <w:fldChar w:fldCharType="begin"/>
      </w:r>
      <w:r w:rsidR="006057D0">
        <w:rPr>
          <w:rFonts w:ascii="Arial" w:hAnsi="Arial" w:cs="Arial"/>
        </w:rPr>
        <w:instrText xml:space="preserve"> HYPERLINK "https://www.tra.gov.au/en/economic-analysis/tourism-businesses" </w:instrText>
      </w:r>
      <w:r w:rsidR="006057D0">
        <w:rPr>
          <w:rFonts w:ascii="Arial" w:hAnsi="Arial" w:cs="Arial"/>
        </w:rPr>
      </w:r>
      <w:r w:rsidR="006057D0">
        <w:rPr>
          <w:rFonts w:ascii="Arial" w:hAnsi="Arial" w:cs="Arial"/>
        </w:rPr>
        <w:fldChar w:fldCharType="separate"/>
      </w:r>
      <w:r w:rsidRPr="006057D0">
        <w:rPr>
          <w:rStyle w:val="Hyperlink"/>
          <w:rFonts w:ascii="Arial" w:hAnsi="Arial" w:cs="Arial"/>
        </w:rPr>
        <w:t>Tourism Resea</w:t>
      </w:r>
      <w:r w:rsidRPr="006057D0">
        <w:rPr>
          <w:rStyle w:val="Hyperlink"/>
          <w:rFonts w:ascii="Arial" w:hAnsi="Arial" w:cs="Arial"/>
        </w:rPr>
        <w:t>r</w:t>
      </w:r>
      <w:r w:rsidRPr="006057D0">
        <w:rPr>
          <w:rStyle w:val="Hyperlink"/>
          <w:rFonts w:ascii="Arial" w:hAnsi="Arial" w:cs="Arial"/>
        </w:rPr>
        <w:t>ch Australia.</w:t>
      </w:r>
    </w:p>
    <w:p w14:paraId="6AD95723" w14:textId="77777777" w:rsidR="00C33B90" w:rsidRPr="00C33B90" w:rsidRDefault="006057D0" w:rsidP="00C33B90">
      <w:pPr>
        <w:rPr>
          <w:rFonts w:eastAsiaTheme="majorEastAsia"/>
          <w:color w:val="2F5496" w:themeColor="accent1" w:themeShade="BF"/>
          <w:sz w:val="8"/>
          <w:szCs w:val="8"/>
        </w:rPr>
      </w:pPr>
      <w:r>
        <w:fldChar w:fldCharType="end"/>
      </w:r>
    </w:p>
    <w:p w14:paraId="1D99CEF1" w14:textId="0DEA26A6" w:rsidR="009C0BFA" w:rsidRPr="00FE172B" w:rsidRDefault="00AB2377" w:rsidP="00BE1D31">
      <w:pPr>
        <w:pStyle w:val="Heading1"/>
        <w:numPr>
          <w:ilvl w:val="0"/>
          <w:numId w:val="11"/>
        </w:numPr>
        <w:ind w:left="284" w:hanging="284"/>
        <w:rPr>
          <w:rFonts w:ascii="Arial" w:hAnsi="Arial" w:cs="Arial"/>
          <w:color w:val="002060"/>
        </w:rPr>
      </w:pPr>
      <w:r w:rsidRPr="00FE172B">
        <w:rPr>
          <w:rFonts w:ascii="Arial" w:hAnsi="Arial" w:cs="Arial"/>
          <w:color w:val="002060"/>
        </w:rPr>
        <w:t xml:space="preserve"> </w:t>
      </w:r>
      <w:bookmarkStart w:id="47" w:name="_Toc167188620"/>
      <w:r w:rsidR="009C0BFA" w:rsidRPr="00FE172B">
        <w:rPr>
          <w:rFonts w:ascii="Arial" w:hAnsi="Arial" w:cs="Arial"/>
          <w:color w:val="002060"/>
        </w:rPr>
        <w:t xml:space="preserve">Tourism </w:t>
      </w:r>
      <w:r w:rsidR="003833B6" w:rsidRPr="00FE172B">
        <w:rPr>
          <w:rFonts w:ascii="Arial" w:hAnsi="Arial" w:cs="Arial"/>
          <w:color w:val="002060"/>
        </w:rPr>
        <w:t>i</w:t>
      </w:r>
      <w:r w:rsidR="009C0BFA" w:rsidRPr="00FE172B">
        <w:rPr>
          <w:rFonts w:ascii="Arial" w:hAnsi="Arial" w:cs="Arial"/>
          <w:color w:val="002060"/>
        </w:rPr>
        <w:t xml:space="preserve">nvestment </w:t>
      </w:r>
      <w:r w:rsidR="003833B6" w:rsidRPr="00FE172B">
        <w:rPr>
          <w:rFonts w:ascii="Arial" w:hAnsi="Arial" w:cs="Arial"/>
          <w:color w:val="002060"/>
        </w:rPr>
        <w:t>m</w:t>
      </w:r>
      <w:r w:rsidR="009C0BFA" w:rsidRPr="00FE172B">
        <w:rPr>
          <w:rFonts w:ascii="Arial" w:hAnsi="Arial" w:cs="Arial"/>
          <w:color w:val="002060"/>
        </w:rPr>
        <w:t>onitor</w:t>
      </w:r>
      <w:bookmarkEnd w:id="47"/>
    </w:p>
    <w:p w14:paraId="6A391738" w14:textId="77777777" w:rsidR="009C0BFA" w:rsidRPr="004C3673" w:rsidRDefault="009C0BFA" w:rsidP="0037295D">
      <w:pPr>
        <w:spacing w:before="120" w:after="120"/>
        <w:rPr>
          <w:rFonts w:ascii="Arial" w:hAnsi="Arial" w:cs="Arial"/>
          <w:lang w:val="en-US"/>
        </w:rPr>
      </w:pPr>
      <w:r w:rsidRPr="004C3673">
        <w:rPr>
          <w:rFonts w:ascii="Arial" w:hAnsi="Arial" w:cs="Arial"/>
          <w:lang w:val="en-US"/>
        </w:rPr>
        <w:t xml:space="preserve">TRA produces an annual report on aspects of the industry’s investment performance. The report is a point-in-time measure of investment (planned and committed) in Australia’s tourism industry. It reports on both the stock, and the progress, of projects at each stage of development. Investment projects are classified as either proposed, in the planning stage, or under construction. </w:t>
      </w:r>
    </w:p>
    <w:p w14:paraId="2B3CAFF6" w14:textId="4BE09C26" w:rsidR="009C0BFA" w:rsidRPr="004C3673" w:rsidRDefault="009C0BFA" w:rsidP="0037295D">
      <w:pPr>
        <w:spacing w:before="120" w:after="120"/>
        <w:rPr>
          <w:rFonts w:ascii="Arial" w:hAnsi="Arial" w:cs="Arial"/>
          <w:lang w:val="en-US"/>
        </w:rPr>
      </w:pPr>
      <w:r w:rsidRPr="004C3673">
        <w:rPr>
          <w:rFonts w:ascii="Arial" w:hAnsi="Arial" w:cs="Arial"/>
          <w:lang w:val="en-US"/>
        </w:rPr>
        <w:t xml:space="preserve">The </w:t>
      </w:r>
      <w:r w:rsidR="003833B6" w:rsidRPr="004C3673">
        <w:rPr>
          <w:rFonts w:ascii="Arial" w:hAnsi="Arial" w:cs="Arial"/>
          <w:lang w:val="en-US"/>
        </w:rPr>
        <w:t>t</w:t>
      </w:r>
      <w:r w:rsidRPr="004C3673">
        <w:rPr>
          <w:rFonts w:ascii="Arial" w:hAnsi="Arial" w:cs="Arial"/>
          <w:lang w:val="en-US"/>
        </w:rPr>
        <w:t xml:space="preserve">ourism </w:t>
      </w:r>
      <w:r w:rsidR="003833B6" w:rsidRPr="004C3673">
        <w:rPr>
          <w:rFonts w:ascii="Arial" w:hAnsi="Arial" w:cs="Arial"/>
          <w:lang w:val="en-US"/>
        </w:rPr>
        <w:t>i</w:t>
      </w:r>
      <w:r w:rsidRPr="004C3673">
        <w:rPr>
          <w:rFonts w:ascii="Arial" w:hAnsi="Arial" w:cs="Arial"/>
          <w:lang w:val="en-US"/>
        </w:rPr>
        <w:t xml:space="preserve">nvestment </w:t>
      </w:r>
      <w:r w:rsidR="003833B6" w:rsidRPr="004C3673">
        <w:rPr>
          <w:rFonts w:ascii="Arial" w:hAnsi="Arial" w:cs="Arial"/>
          <w:lang w:val="en-US"/>
        </w:rPr>
        <w:t>m</w:t>
      </w:r>
      <w:r w:rsidRPr="004C3673">
        <w:rPr>
          <w:rFonts w:ascii="Arial" w:hAnsi="Arial" w:cs="Arial"/>
          <w:lang w:val="en-US"/>
        </w:rPr>
        <w:t>onitor reports on</w:t>
      </w:r>
      <w:r w:rsidR="0037295D" w:rsidRPr="004C3673">
        <w:rPr>
          <w:rFonts w:ascii="Arial" w:hAnsi="Arial" w:cs="Arial"/>
          <w:lang w:val="en-US"/>
        </w:rPr>
        <w:t xml:space="preserve"> </w:t>
      </w:r>
      <w:r w:rsidRPr="004C3673">
        <w:rPr>
          <w:rFonts w:ascii="Arial" w:hAnsi="Arial" w:cs="Arial"/>
          <w:lang w:val="en-US"/>
        </w:rPr>
        <w:t>the location of projects</w:t>
      </w:r>
      <w:r w:rsidR="0037295D" w:rsidRPr="004C3673">
        <w:rPr>
          <w:rFonts w:ascii="Arial" w:hAnsi="Arial" w:cs="Arial"/>
          <w:lang w:val="en-US"/>
        </w:rPr>
        <w:t xml:space="preserve"> </w:t>
      </w:r>
      <w:r w:rsidRPr="004C3673">
        <w:rPr>
          <w:rFonts w:ascii="Arial" w:hAnsi="Arial" w:cs="Arial"/>
          <w:lang w:val="en-US"/>
        </w:rPr>
        <w:t>by state and territory and progress through stages of the development timeline.</w:t>
      </w:r>
    </w:p>
    <w:p w14:paraId="52374A6E" w14:textId="7DDC488B" w:rsidR="009C0BFA" w:rsidRPr="004C3673" w:rsidRDefault="009C0BFA" w:rsidP="0037295D">
      <w:pPr>
        <w:spacing w:before="120" w:after="120"/>
        <w:rPr>
          <w:rFonts w:ascii="Arial" w:hAnsi="Arial" w:cs="Arial"/>
          <w:lang w:val="en-US"/>
        </w:rPr>
      </w:pPr>
      <w:r w:rsidRPr="004C3673">
        <w:rPr>
          <w:rFonts w:ascii="Arial" w:hAnsi="Arial" w:cs="Arial"/>
          <w:lang w:val="en-US"/>
        </w:rPr>
        <w:t xml:space="preserve">Projects in the pipeline cover </w:t>
      </w:r>
      <w:r w:rsidR="00C44FE4" w:rsidRPr="004C3673">
        <w:rPr>
          <w:rFonts w:ascii="Arial" w:hAnsi="Arial" w:cs="Arial"/>
          <w:lang w:val="en-US"/>
        </w:rPr>
        <w:t>the</w:t>
      </w:r>
      <w:r w:rsidRPr="004C3673">
        <w:rPr>
          <w:rFonts w:ascii="Arial" w:hAnsi="Arial" w:cs="Arial"/>
          <w:lang w:val="en-US"/>
        </w:rPr>
        <w:t xml:space="preserve"> tourism sectors</w:t>
      </w:r>
      <w:r w:rsidR="00C44FE4" w:rsidRPr="004C3673">
        <w:rPr>
          <w:rFonts w:ascii="Arial" w:hAnsi="Arial" w:cs="Arial"/>
          <w:lang w:val="en-US"/>
        </w:rPr>
        <w:t xml:space="preserve"> of</w:t>
      </w:r>
      <w:r w:rsidRPr="004C3673">
        <w:rPr>
          <w:rFonts w:ascii="Arial" w:hAnsi="Arial" w:cs="Arial"/>
          <w:lang w:val="en-US"/>
        </w:rPr>
        <w:t xml:space="preserve"> aviation, arts, recreation, and business services and accommodation.</w:t>
      </w:r>
    </w:p>
    <w:p w14:paraId="2E2F448A" w14:textId="77777777" w:rsidR="009C0BFA" w:rsidRPr="004C3673" w:rsidRDefault="009C0BFA" w:rsidP="0037295D">
      <w:pPr>
        <w:rPr>
          <w:rFonts w:ascii="Arial" w:hAnsi="Arial" w:cs="Arial"/>
          <w:lang w:val="en-US"/>
        </w:rPr>
      </w:pPr>
      <w:r w:rsidRPr="004C3673">
        <w:rPr>
          <w:rFonts w:ascii="Arial" w:hAnsi="Arial" w:cs="Arial"/>
          <w:lang w:val="en-US"/>
        </w:rPr>
        <w:t>The pipeline includes stand-alone accommodation projects. It excludes mixed-use developments. However, there is also information on the value and volume of mixed-use projects with a tourism component.</w:t>
      </w:r>
    </w:p>
    <w:p w14:paraId="0B292D78" w14:textId="70018D34" w:rsidR="002C2DBE" w:rsidRPr="00FE172B" w:rsidRDefault="00AB2377" w:rsidP="002C2DBE">
      <w:pPr>
        <w:pStyle w:val="Heading2"/>
        <w:rPr>
          <w:rFonts w:ascii="Arial" w:hAnsi="Arial" w:cs="Arial"/>
          <w:color w:val="002060"/>
        </w:rPr>
      </w:pPr>
      <w:bookmarkStart w:id="48" w:name="_Toc167188621"/>
      <w:r w:rsidRPr="00FE172B">
        <w:rPr>
          <w:rFonts w:ascii="Arial" w:hAnsi="Arial" w:cs="Arial"/>
          <w:color w:val="002060"/>
        </w:rPr>
        <w:lastRenderedPageBreak/>
        <w:t xml:space="preserve">8.1 </w:t>
      </w:r>
      <w:r w:rsidR="002C2DBE" w:rsidRPr="00FE172B">
        <w:rPr>
          <w:rFonts w:ascii="Arial" w:hAnsi="Arial" w:cs="Arial"/>
          <w:color w:val="002060"/>
        </w:rPr>
        <w:t>Methodology</w:t>
      </w:r>
      <w:bookmarkEnd w:id="48"/>
      <w:r w:rsidR="00511DA1" w:rsidRPr="00FE172B">
        <w:rPr>
          <w:rFonts w:ascii="Arial" w:hAnsi="Arial" w:cs="Arial"/>
          <w:color w:val="002060"/>
        </w:rPr>
        <w:t xml:space="preserve"> </w:t>
      </w:r>
    </w:p>
    <w:p w14:paraId="45C20137" w14:textId="77777777" w:rsidR="002C2DBE" w:rsidRPr="004C3673" w:rsidRDefault="002C2DBE" w:rsidP="00245970">
      <w:pPr>
        <w:spacing w:before="120" w:after="120"/>
        <w:contextualSpacing/>
        <w:rPr>
          <w:rFonts w:ascii="Arial" w:hAnsi="Arial" w:cs="Arial"/>
        </w:rPr>
      </w:pPr>
      <w:r w:rsidRPr="004C3673">
        <w:rPr>
          <w:rFonts w:ascii="Arial" w:hAnsi="Arial" w:cs="Arial"/>
        </w:rPr>
        <w:t xml:space="preserve">Three data sources are used to build the tourism investment pipeline database that underpins this report. These are: </w:t>
      </w:r>
    </w:p>
    <w:p w14:paraId="3EB5680B" w14:textId="0A3A1752" w:rsidR="002C2DBE" w:rsidRPr="004C3673" w:rsidRDefault="002C2DBE" w:rsidP="00BE1D31">
      <w:pPr>
        <w:pStyle w:val="ListParagraph"/>
        <w:numPr>
          <w:ilvl w:val="0"/>
          <w:numId w:val="2"/>
        </w:numPr>
        <w:spacing w:before="120" w:after="120"/>
        <w:rPr>
          <w:rFonts w:ascii="Arial" w:hAnsi="Arial" w:cs="Arial"/>
          <w:lang w:val="en-US"/>
        </w:rPr>
      </w:pPr>
      <w:r w:rsidRPr="004C3673">
        <w:rPr>
          <w:rFonts w:ascii="Arial" w:hAnsi="Arial" w:cs="Arial"/>
          <w:lang w:val="en-US"/>
        </w:rPr>
        <w:t xml:space="preserve">Deloitte Access Economics’ Investment Monitor </w:t>
      </w:r>
    </w:p>
    <w:p w14:paraId="5065540C" w14:textId="77777777" w:rsidR="002C2DBE" w:rsidRPr="004C3673" w:rsidRDefault="002C2DBE" w:rsidP="00BE1D31">
      <w:pPr>
        <w:pStyle w:val="ListParagraph"/>
        <w:numPr>
          <w:ilvl w:val="0"/>
          <w:numId w:val="2"/>
        </w:numPr>
        <w:spacing w:before="120" w:after="120"/>
        <w:rPr>
          <w:rFonts w:ascii="Arial" w:hAnsi="Arial" w:cs="Arial"/>
          <w:lang w:val="en-US"/>
        </w:rPr>
      </w:pPr>
      <w:r w:rsidRPr="004C3673">
        <w:rPr>
          <w:rFonts w:ascii="Arial" w:hAnsi="Arial" w:cs="Arial"/>
          <w:lang w:val="en-US"/>
        </w:rPr>
        <w:t xml:space="preserve">STR Global Asia Pacific’s Pipeline Database, </w:t>
      </w:r>
    </w:p>
    <w:p w14:paraId="5A563955" w14:textId="77777777" w:rsidR="002C2DBE" w:rsidRPr="004C3673" w:rsidRDefault="002C2DBE" w:rsidP="00BE1D31">
      <w:pPr>
        <w:pStyle w:val="ListParagraph"/>
        <w:numPr>
          <w:ilvl w:val="0"/>
          <w:numId w:val="2"/>
        </w:numPr>
        <w:spacing w:before="120" w:after="120"/>
        <w:rPr>
          <w:rFonts w:ascii="Arial" w:hAnsi="Arial" w:cs="Arial"/>
          <w:lang w:val="en-US"/>
        </w:rPr>
      </w:pPr>
      <w:r w:rsidRPr="004C3673">
        <w:rPr>
          <w:rFonts w:ascii="Arial" w:hAnsi="Arial" w:cs="Arial"/>
          <w:lang w:val="en-US"/>
        </w:rPr>
        <w:t>the investment authorities within state governments.</w:t>
      </w:r>
    </w:p>
    <w:p w14:paraId="38E25E13" w14:textId="2C268B19" w:rsidR="002C2DBE" w:rsidRPr="004C3673" w:rsidRDefault="008345D1" w:rsidP="00BE1D31">
      <w:pPr>
        <w:pStyle w:val="ListParagraph"/>
        <w:numPr>
          <w:ilvl w:val="0"/>
          <w:numId w:val="2"/>
        </w:numPr>
        <w:spacing w:before="120" w:after="120"/>
        <w:rPr>
          <w:rFonts w:ascii="Arial" w:hAnsi="Arial" w:cs="Arial"/>
          <w:lang w:val="en-US"/>
        </w:rPr>
      </w:pPr>
      <w:r w:rsidRPr="004C3673">
        <w:rPr>
          <w:rStyle w:val="markedcontent"/>
          <w:rFonts w:ascii="Arial" w:hAnsi="Arial" w:cs="Arial"/>
        </w:rPr>
        <w:t>Victorian Government, Department of Jobs, Skills, Industry and Regions</w:t>
      </w:r>
      <w:r w:rsidR="002C2DBE" w:rsidRPr="004C3673">
        <w:rPr>
          <w:rFonts w:ascii="Arial" w:hAnsi="Arial" w:cs="Arial"/>
          <w:lang w:val="en-US"/>
        </w:rPr>
        <w:t xml:space="preserve"> investment teams have provided additional insight for Victoria’s tourism investment pipeline since 2016–17. This provides an additional layer of intelligence to compile a more comprehensive pipeline, with a focus on accommodation projects. </w:t>
      </w:r>
    </w:p>
    <w:p w14:paraId="34505DF9" w14:textId="1CFCB0F7" w:rsidR="00A81A96" w:rsidRPr="00FE172B" w:rsidRDefault="00AB2377" w:rsidP="00245970">
      <w:pPr>
        <w:pStyle w:val="Heading2"/>
        <w:spacing w:before="120" w:after="120"/>
        <w:contextualSpacing/>
        <w:rPr>
          <w:rFonts w:ascii="Arial" w:hAnsi="Arial" w:cs="Arial"/>
          <w:color w:val="002060"/>
        </w:rPr>
      </w:pPr>
      <w:bookmarkStart w:id="49" w:name="_Toc167188622"/>
      <w:r w:rsidRPr="00FE172B">
        <w:rPr>
          <w:rFonts w:ascii="Arial" w:hAnsi="Arial" w:cs="Arial"/>
          <w:color w:val="002060"/>
        </w:rPr>
        <w:t xml:space="preserve">8.2 </w:t>
      </w:r>
      <w:r w:rsidR="00A81A96" w:rsidRPr="00FE172B">
        <w:rPr>
          <w:rFonts w:ascii="Arial" w:hAnsi="Arial" w:cs="Arial"/>
          <w:color w:val="002060"/>
        </w:rPr>
        <w:t>Data limitations</w:t>
      </w:r>
      <w:bookmarkEnd w:id="49"/>
    </w:p>
    <w:p w14:paraId="0A31D8DA" w14:textId="77777777" w:rsidR="00A81A96" w:rsidRPr="004C3673" w:rsidRDefault="00A81A96" w:rsidP="00BE1D31">
      <w:pPr>
        <w:pStyle w:val="ListParagraph"/>
        <w:numPr>
          <w:ilvl w:val="0"/>
          <w:numId w:val="2"/>
        </w:numPr>
        <w:spacing w:before="120" w:after="120"/>
        <w:rPr>
          <w:rFonts w:ascii="Arial" w:hAnsi="Arial" w:cs="Arial"/>
          <w:lang w:val="en-US"/>
        </w:rPr>
      </w:pPr>
      <w:r w:rsidRPr="004C3673">
        <w:rPr>
          <w:rFonts w:ascii="Arial" w:hAnsi="Arial" w:cs="Arial"/>
          <w:lang w:val="en-US"/>
        </w:rPr>
        <w:t xml:space="preserve">The primary threshold for projects is $20 million or more. The project values and pipeline progression are the end of a financial year. </w:t>
      </w:r>
    </w:p>
    <w:p w14:paraId="3558C9EF" w14:textId="77777777" w:rsidR="00A81A96" w:rsidRPr="004C3673" w:rsidRDefault="00A81A96" w:rsidP="00BE1D31">
      <w:pPr>
        <w:pStyle w:val="ListParagraph"/>
        <w:numPr>
          <w:ilvl w:val="0"/>
          <w:numId w:val="2"/>
        </w:numPr>
        <w:spacing w:before="120" w:after="120"/>
        <w:rPr>
          <w:rFonts w:ascii="Arial" w:hAnsi="Arial" w:cs="Arial"/>
          <w:lang w:val="en-US"/>
        </w:rPr>
      </w:pPr>
      <w:r w:rsidRPr="004C3673">
        <w:rPr>
          <w:rFonts w:ascii="Arial" w:hAnsi="Arial" w:cs="Arial"/>
          <w:lang w:val="en-US"/>
        </w:rPr>
        <w:t xml:space="preserve">The report is not an exhaustive list of current or potential development projects and does not account for all tourism investments. It includes all known major investments that will impact on supply. </w:t>
      </w:r>
    </w:p>
    <w:p w14:paraId="2A47AC25" w14:textId="77777777" w:rsidR="00A81A96" w:rsidRPr="004C3673" w:rsidRDefault="00A81A96" w:rsidP="00BE1D31">
      <w:pPr>
        <w:pStyle w:val="ListParagraph"/>
        <w:numPr>
          <w:ilvl w:val="0"/>
          <w:numId w:val="2"/>
        </w:numPr>
        <w:spacing w:before="120" w:after="120"/>
        <w:rPr>
          <w:rFonts w:ascii="Arial" w:hAnsi="Arial" w:cs="Arial"/>
          <w:lang w:val="en-US"/>
        </w:rPr>
      </w:pPr>
      <w:r w:rsidRPr="004C3673">
        <w:rPr>
          <w:rFonts w:ascii="Arial" w:hAnsi="Arial" w:cs="Arial"/>
          <w:lang w:val="en-US"/>
        </w:rPr>
        <w:t xml:space="preserve">The pipeline excludes mixed-use developments, unless stated otherwise. This is due to the difficulties in apportioning the value of these projects to the tourism sector. </w:t>
      </w:r>
    </w:p>
    <w:p w14:paraId="7B5B7D89" w14:textId="08D18C7E" w:rsidR="00C35F6B" w:rsidRPr="000D4639" w:rsidRDefault="00C35F6B" w:rsidP="00245970">
      <w:pPr>
        <w:spacing w:before="120" w:after="120"/>
        <w:contextualSpacing/>
        <w:rPr>
          <w:rStyle w:val="Hyperlink"/>
          <w:rFonts w:ascii="Arial" w:hAnsi="Arial" w:cs="Arial"/>
        </w:rPr>
      </w:pPr>
      <w:r w:rsidRPr="004C3673">
        <w:rPr>
          <w:rFonts w:ascii="Arial" w:hAnsi="Arial" w:cs="Arial"/>
        </w:rPr>
        <w:t xml:space="preserve">Further information on the </w:t>
      </w:r>
      <w:r w:rsidR="00220233" w:rsidRPr="004C3673">
        <w:rPr>
          <w:rFonts w:ascii="Arial" w:hAnsi="Arial" w:cs="Arial"/>
        </w:rPr>
        <w:t>t</w:t>
      </w:r>
      <w:r w:rsidRPr="004C3673">
        <w:rPr>
          <w:rFonts w:ascii="Arial" w:hAnsi="Arial" w:cs="Arial"/>
        </w:rPr>
        <w:t xml:space="preserve">ourism </w:t>
      </w:r>
      <w:r w:rsidR="00220233" w:rsidRPr="004C3673">
        <w:rPr>
          <w:rFonts w:ascii="Arial" w:hAnsi="Arial" w:cs="Arial"/>
        </w:rPr>
        <w:t>i</w:t>
      </w:r>
      <w:r w:rsidRPr="004C3673">
        <w:rPr>
          <w:rFonts w:ascii="Arial" w:hAnsi="Arial" w:cs="Arial"/>
        </w:rPr>
        <w:t xml:space="preserve">nvestment </w:t>
      </w:r>
      <w:r w:rsidR="00220233" w:rsidRPr="004C3673">
        <w:rPr>
          <w:rFonts w:ascii="Arial" w:hAnsi="Arial" w:cs="Arial"/>
        </w:rPr>
        <w:t>m</w:t>
      </w:r>
      <w:r w:rsidRPr="004C3673">
        <w:rPr>
          <w:rFonts w:ascii="Arial" w:hAnsi="Arial" w:cs="Arial"/>
        </w:rPr>
        <w:t xml:space="preserve">onitor is available at </w:t>
      </w:r>
      <w:r w:rsidR="000D4639">
        <w:rPr>
          <w:rFonts w:ascii="Arial" w:hAnsi="Arial" w:cs="Arial"/>
        </w:rPr>
        <w:fldChar w:fldCharType="begin"/>
      </w:r>
      <w:r w:rsidR="000D4639">
        <w:rPr>
          <w:rFonts w:ascii="Arial" w:hAnsi="Arial" w:cs="Arial"/>
        </w:rPr>
        <w:instrText xml:space="preserve"> HYPERLINK "https://www.tra.gov.au/en/economic-analysis/tourism-investment-monitor" </w:instrText>
      </w:r>
      <w:r w:rsidR="000D4639">
        <w:rPr>
          <w:rFonts w:ascii="Arial" w:hAnsi="Arial" w:cs="Arial"/>
        </w:rPr>
      </w:r>
      <w:r w:rsidR="000D4639">
        <w:rPr>
          <w:rFonts w:ascii="Arial" w:hAnsi="Arial" w:cs="Arial"/>
        </w:rPr>
        <w:fldChar w:fldCharType="separate"/>
      </w:r>
      <w:r w:rsidRPr="000D4639">
        <w:rPr>
          <w:rStyle w:val="Hyperlink"/>
          <w:rFonts w:ascii="Arial" w:hAnsi="Arial" w:cs="Arial"/>
        </w:rPr>
        <w:t>Tourism R</w:t>
      </w:r>
      <w:r w:rsidRPr="000D4639">
        <w:rPr>
          <w:rStyle w:val="Hyperlink"/>
          <w:rFonts w:ascii="Arial" w:hAnsi="Arial" w:cs="Arial"/>
        </w:rPr>
        <w:t>e</w:t>
      </w:r>
      <w:r w:rsidRPr="000D4639">
        <w:rPr>
          <w:rStyle w:val="Hyperlink"/>
          <w:rFonts w:ascii="Arial" w:hAnsi="Arial" w:cs="Arial"/>
        </w:rPr>
        <w:t>search Australia.</w:t>
      </w:r>
    </w:p>
    <w:p w14:paraId="23486B52" w14:textId="77777777" w:rsidR="00C33B90" w:rsidRPr="00C33B90" w:rsidRDefault="000D4639" w:rsidP="00C33B90">
      <w:pPr>
        <w:rPr>
          <w:rFonts w:eastAsiaTheme="majorEastAsia"/>
          <w:color w:val="2F5496" w:themeColor="accent1" w:themeShade="BF"/>
          <w:sz w:val="8"/>
          <w:szCs w:val="8"/>
        </w:rPr>
      </w:pPr>
      <w:r>
        <w:fldChar w:fldCharType="end"/>
      </w:r>
    </w:p>
    <w:p w14:paraId="79EACBEF" w14:textId="72C24E72" w:rsidR="00F91E58" w:rsidRPr="00FE172B" w:rsidRDefault="00F91E58" w:rsidP="00BE1D31">
      <w:pPr>
        <w:pStyle w:val="Heading1"/>
        <w:numPr>
          <w:ilvl w:val="0"/>
          <w:numId w:val="11"/>
        </w:numPr>
        <w:ind w:left="284" w:hanging="284"/>
        <w:rPr>
          <w:rFonts w:ascii="Arial" w:hAnsi="Arial" w:cs="Arial"/>
          <w:color w:val="002060"/>
        </w:rPr>
      </w:pPr>
      <w:bookmarkStart w:id="50" w:name="_Toc167188623"/>
      <w:r w:rsidRPr="00FE172B">
        <w:rPr>
          <w:rFonts w:ascii="Arial" w:hAnsi="Arial" w:cs="Arial"/>
          <w:color w:val="002060"/>
        </w:rPr>
        <w:t xml:space="preserve">Data </w:t>
      </w:r>
      <w:r w:rsidR="0024754A" w:rsidRPr="00FE172B">
        <w:rPr>
          <w:rFonts w:ascii="Arial" w:hAnsi="Arial" w:cs="Arial"/>
          <w:color w:val="002060"/>
        </w:rPr>
        <w:t>d</w:t>
      </w:r>
      <w:r w:rsidRPr="00FE172B">
        <w:rPr>
          <w:rFonts w:ascii="Arial" w:hAnsi="Arial" w:cs="Arial"/>
          <w:color w:val="002060"/>
        </w:rPr>
        <w:t>isclaimer</w:t>
      </w:r>
      <w:bookmarkEnd w:id="50"/>
    </w:p>
    <w:p w14:paraId="7DBB72FE" w14:textId="77777777" w:rsidR="008A0BF7" w:rsidRPr="004C3673" w:rsidRDefault="008A0BF7" w:rsidP="008A0BF7">
      <w:pPr>
        <w:pStyle w:val="Default"/>
        <w:spacing w:before="120" w:after="120"/>
        <w:rPr>
          <w:rFonts w:ascii="Arial" w:eastAsiaTheme="minorHAnsi" w:hAnsi="Arial" w:cs="Arial"/>
          <w:color w:val="auto"/>
          <w:sz w:val="22"/>
          <w:szCs w:val="22"/>
        </w:rPr>
      </w:pPr>
      <w:r w:rsidRPr="004C3673">
        <w:rPr>
          <w:rFonts w:ascii="Arial" w:eastAsiaTheme="minorHAnsi" w:hAnsi="Arial" w:cs="Arial"/>
          <w:color w:val="auto"/>
          <w:sz w:val="22"/>
          <w:szCs w:val="22"/>
        </w:rPr>
        <w:t xml:space="preserve">The DJSIR Tourism and Events research unit takes due care in the preparation of all research content. All information is considered correct at the time of publishing but may be subject to revisions. </w:t>
      </w:r>
    </w:p>
    <w:p w14:paraId="1B3764AD" w14:textId="77777777" w:rsidR="008A0BF7" w:rsidRPr="004C3673" w:rsidRDefault="008A0BF7" w:rsidP="008A0BF7">
      <w:pPr>
        <w:pStyle w:val="Default"/>
        <w:spacing w:before="120" w:after="120"/>
        <w:rPr>
          <w:rFonts w:ascii="Arial" w:eastAsiaTheme="minorHAnsi" w:hAnsi="Arial" w:cs="Arial"/>
          <w:color w:val="auto"/>
          <w:sz w:val="22"/>
          <w:szCs w:val="22"/>
        </w:rPr>
      </w:pPr>
      <w:r w:rsidRPr="004C3673">
        <w:rPr>
          <w:rFonts w:ascii="Arial" w:eastAsiaTheme="minorHAnsi" w:hAnsi="Arial" w:cs="Arial"/>
          <w:color w:val="auto"/>
          <w:sz w:val="22"/>
          <w:szCs w:val="22"/>
        </w:rPr>
        <w:t xml:space="preserve">By using this information, you acknowledge that this information is provided to you without any responsibility on behalf of DJSIR. </w:t>
      </w:r>
    </w:p>
    <w:p w14:paraId="371DF1A0" w14:textId="77777777" w:rsidR="008A0BF7" w:rsidRPr="004C3673" w:rsidRDefault="008A0BF7" w:rsidP="008A0BF7">
      <w:pPr>
        <w:pStyle w:val="Default"/>
        <w:spacing w:before="120" w:after="120"/>
        <w:rPr>
          <w:rFonts w:ascii="Arial" w:eastAsiaTheme="minorHAnsi" w:hAnsi="Arial" w:cs="Arial"/>
          <w:color w:val="auto"/>
          <w:sz w:val="22"/>
          <w:szCs w:val="22"/>
        </w:rPr>
      </w:pPr>
      <w:r w:rsidRPr="004C3673">
        <w:rPr>
          <w:rFonts w:ascii="Arial" w:eastAsiaTheme="minorHAnsi" w:hAnsi="Arial" w:cs="Arial"/>
          <w:color w:val="auto"/>
          <w:sz w:val="22"/>
          <w:szCs w:val="22"/>
        </w:rPr>
        <w:t xml:space="preserve">DJSIR does not represent or warrant that this information is correct, complete, or suitable for the purpose for which you wish to use it. </w:t>
      </w:r>
    </w:p>
    <w:p w14:paraId="4D0B6441" w14:textId="5EE69BB4" w:rsidR="001A0DD6" w:rsidRPr="004C3673" w:rsidRDefault="008A0BF7" w:rsidP="008A0BF7">
      <w:pPr>
        <w:pStyle w:val="Default"/>
        <w:spacing w:before="120" w:after="120"/>
        <w:rPr>
          <w:rFonts w:ascii="Arial" w:hAnsi="Arial" w:cs="Arial"/>
          <w:color w:val="auto"/>
          <w:sz w:val="22"/>
          <w:szCs w:val="22"/>
        </w:rPr>
      </w:pPr>
      <w:r w:rsidRPr="004C3673">
        <w:rPr>
          <w:rFonts w:ascii="Arial" w:eastAsiaTheme="minorHAnsi" w:hAnsi="Arial" w:cs="Arial"/>
          <w:color w:val="auto"/>
          <w:sz w:val="22"/>
          <w:szCs w:val="22"/>
        </w:rPr>
        <w:t xml:space="preserve">The information is provided to you on the basis that you will use your own skill and judgement and make your own enquiries to independently evaluate, assess and verify the information’s correctness and usefulness to you before you rely on the information.  </w:t>
      </w:r>
    </w:p>
    <w:p w14:paraId="7B82AAFD" w14:textId="77777777" w:rsidR="00845C30" w:rsidRPr="004C3673" w:rsidRDefault="00845C30" w:rsidP="00845C30">
      <w:pPr>
        <w:pStyle w:val="Default"/>
        <w:rPr>
          <w:rFonts w:ascii="Arial" w:hAnsi="Arial" w:cs="Arial"/>
          <w:color w:val="auto"/>
          <w:sz w:val="23"/>
          <w:szCs w:val="23"/>
        </w:rPr>
      </w:pPr>
    </w:p>
    <w:p w14:paraId="2EC26ED3" w14:textId="62914EA3" w:rsidR="00845C30" w:rsidRPr="004C3673" w:rsidRDefault="00845C30" w:rsidP="00845C30">
      <w:pPr>
        <w:pStyle w:val="Default"/>
        <w:rPr>
          <w:rFonts w:ascii="Arial" w:hAnsi="Arial" w:cs="Arial"/>
          <w:color w:val="auto"/>
          <w:sz w:val="23"/>
          <w:szCs w:val="23"/>
        </w:rPr>
      </w:pPr>
      <w:r w:rsidRPr="004C3673">
        <w:rPr>
          <w:rFonts w:ascii="Arial" w:hAnsi="Arial" w:cs="Arial"/>
          <w:color w:val="auto"/>
          <w:sz w:val="23"/>
          <w:szCs w:val="23"/>
        </w:rPr>
        <w:t>Report produced by the Tourism and Events Research Unit</w:t>
      </w:r>
    </w:p>
    <w:p w14:paraId="4911DFFD" w14:textId="53915D3D" w:rsidR="001A0DD6" w:rsidRPr="004C3673" w:rsidRDefault="001A0DD6" w:rsidP="00245970">
      <w:pPr>
        <w:pStyle w:val="Default"/>
        <w:spacing w:before="120" w:after="120"/>
        <w:rPr>
          <w:rFonts w:ascii="Arial" w:hAnsi="Arial" w:cs="Arial"/>
          <w:color w:val="auto"/>
          <w:sz w:val="22"/>
          <w:szCs w:val="22"/>
        </w:rPr>
      </w:pPr>
      <w:r w:rsidRPr="004C3673">
        <w:rPr>
          <w:rFonts w:ascii="Arial" w:hAnsi="Arial" w:cs="Arial"/>
          <w:color w:val="auto"/>
          <w:sz w:val="22"/>
          <w:szCs w:val="22"/>
        </w:rPr>
        <w:t>Department of Jobs, Skills, Industry and Regions (DJSIR)</w:t>
      </w:r>
    </w:p>
    <w:p w14:paraId="4DCAC699" w14:textId="77777777" w:rsidR="001A0DD6" w:rsidRPr="004C3673" w:rsidRDefault="001A0DD6" w:rsidP="00245970">
      <w:pPr>
        <w:pStyle w:val="Default"/>
        <w:spacing w:before="120" w:after="120"/>
        <w:rPr>
          <w:rFonts w:ascii="Arial" w:hAnsi="Arial" w:cs="Arial"/>
          <w:color w:val="auto"/>
          <w:sz w:val="22"/>
          <w:szCs w:val="22"/>
        </w:rPr>
      </w:pPr>
      <w:r w:rsidRPr="004C3673">
        <w:rPr>
          <w:rFonts w:ascii="Arial" w:hAnsi="Arial" w:cs="Arial"/>
          <w:color w:val="auto"/>
          <w:sz w:val="22"/>
          <w:szCs w:val="22"/>
        </w:rPr>
        <w:t>Victorian Government</w:t>
      </w:r>
    </w:p>
    <w:p w14:paraId="7731C5AD" w14:textId="7195F31E" w:rsidR="001A0DD6" w:rsidRPr="004C3673" w:rsidRDefault="001A0DD6" w:rsidP="00245970">
      <w:pPr>
        <w:pStyle w:val="Default"/>
        <w:spacing w:before="120" w:after="120"/>
        <w:rPr>
          <w:rFonts w:ascii="Arial" w:hAnsi="Arial" w:cs="Arial"/>
          <w:color w:val="auto"/>
          <w:sz w:val="22"/>
          <w:szCs w:val="22"/>
        </w:rPr>
      </w:pPr>
      <w:r w:rsidRPr="004C3673">
        <w:rPr>
          <w:rFonts w:ascii="Arial" w:hAnsi="Arial" w:cs="Arial"/>
          <w:color w:val="auto"/>
          <w:sz w:val="22"/>
          <w:szCs w:val="22"/>
        </w:rPr>
        <w:t xml:space="preserve">Published </w:t>
      </w:r>
      <w:r w:rsidR="007B44E2">
        <w:rPr>
          <w:rFonts w:ascii="Arial" w:hAnsi="Arial" w:cs="Arial"/>
          <w:color w:val="auto"/>
          <w:sz w:val="22"/>
          <w:szCs w:val="22"/>
        </w:rPr>
        <w:t xml:space="preserve">May </w:t>
      </w:r>
      <w:r w:rsidR="00AB2377">
        <w:rPr>
          <w:rFonts w:ascii="Arial" w:hAnsi="Arial" w:cs="Arial"/>
          <w:color w:val="auto"/>
          <w:sz w:val="22"/>
          <w:szCs w:val="22"/>
        </w:rPr>
        <w:t>2024</w:t>
      </w:r>
    </w:p>
    <w:p w14:paraId="72D3B9A4" w14:textId="77777777" w:rsidR="001A0DD6" w:rsidRPr="004C3673" w:rsidRDefault="001A0DD6" w:rsidP="00245970">
      <w:pPr>
        <w:spacing w:before="120" w:after="120"/>
        <w:rPr>
          <w:rFonts w:ascii="Arial" w:hAnsi="Arial" w:cs="Arial"/>
        </w:rPr>
      </w:pPr>
    </w:p>
    <w:p w14:paraId="0F0B3A9D" w14:textId="57AC5E9D" w:rsidR="009970AB" w:rsidRPr="004C3673" w:rsidRDefault="009970AB" w:rsidP="00245970">
      <w:pPr>
        <w:pStyle w:val="Default"/>
        <w:spacing w:before="120" w:after="120"/>
        <w:rPr>
          <w:rFonts w:ascii="Arial" w:hAnsi="Arial" w:cs="Arial"/>
          <w:color w:val="auto"/>
          <w:sz w:val="22"/>
          <w:szCs w:val="22"/>
        </w:rPr>
      </w:pPr>
      <w:r w:rsidRPr="004C3673">
        <w:rPr>
          <w:rFonts w:ascii="Arial" w:hAnsi="Arial" w:cs="Arial"/>
          <w:color w:val="auto"/>
          <w:sz w:val="22"/>
          <w:szCs w:val="22"/>
        </w:rPr>
        <w:t xml:space="preserve">Please contact the Research team at: </w:t>
      </w:r>
      <w:hyperlink r:id="rId21" w:history="1">
        <w:r w:rsidRPr="004C3673">
          <w:rPr>
            <w:rStyle w:val="Hyperlink"/>
            <w:rFonts w:ascii="Arial" w:hAnsi="Arial" w:cs="Arial"/>
            <w:sz w:val="22"/>
            <w:szCs w:val="22"/>
          </w:rPr>
          <w:t>research@ecodev.vic.gov.au</w:t>
        </w:r>
      </w:hyperlink>
      <w:r w:rsidRPr="004C3673">
        <w:rPr>
          <w:rFonts w:ascii="Arial" w:hAnsi="Arial" w:cs="Arial"/>
          <w:color w:val="auto"/>
          <w:sz w:val="22"/>
          <w:szCs w:val="22"/>
        </w:rPr>
        <w:t xml:space="preserve"> with any queries.</w:t>
      </w:r>
    </w:p>
    <w:p w14:paraId="7F13234E" w14:textId="128ACA86" w:rsidR="00333F69" w:rsidRPr="004C3673" w:rsidRDefault="008F52B0" w:rsidP="007759BC">
      <w:pPr>
        <w:rPr>
          <w:rFonts w:ascii="Arial" w:hAnsi="Arial" w:cs="Arial"/>
        </w:rPr>
      </w:pPr>
      <w:r w:rsidRPr="004C3673">
        <w:rPr>
          <w:rStyle w:val="markedcontent"/>
          <w:rFonts w:ascii="Arial" w:hAnsi="Arial" w:cs="Arial"/>
        </w:rPr>
        <w:t xml:space="preserve"> </w:t>
      </w:r>
    </w:p>
    <w:sectPr w:rsidR="00333F69" w:rsidRPr="004C3673" w:rsidSect="005940D0">
      <w:type w:val="continuous"/>
      <w:pgSz w:w="11906" w:h="16838"/>
      <w:pgMar w:top="1134" w:right="991" w:bottom="851"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0E3B" w14:textId="77777777" w:rsidR="00C96BF9" w:rsidRDefault="00C96BF9" w:rsidP="00D67AEC">
      <w:pPr>
        <w:spacing w:after="0" w:line="240" w:lineRule="auto"/>
      </w:pPr>
      <w:r>
        <w:separator/>
      </w:r>
    </w:p>
  </w:endnote>
  <w:endnote w:type="continuationSeparator" w:id="0">
    <w:p w14:paraId="3858AC9D" w14:textId="77777777" w:rsidR="00C96BF9" w:rsidRDefault="00C96BF9" w:rsidP="00D6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1F164" w14:textId="4480E48C" w:rsidR="00A5328C" w:rsidRPr="007F456A" w:rsidRDefault="00A5328C">
    <w:pPr>
      <w:pStyle w:val="Footer"/>
      <w:jc w:val="right"/>
      <w:rPr>
        <w:rFonts w:ascii="Arial" w:hAnsi="Arial" w:cs="Arial"/>
        <w:sz w:val="20"/>
        <w:szCs w:val="20"/>
      </w:rPr>
    </w:pPr>
    <w:r w:rsidRPr="007F456A">
      <w:rPr>
        <w:rFonts w:ascii="Arial" w:hAnsi="Arial" w:cs="Arial"/>
        <w:sz w:val="20"/>
        <w:szCs w:val="20"/>
      </w:rPr>
      <w:t>State Government of Victoria</w:t>
    </w:r>
  </w:p>
  <w:p w14:paraId="01187820" w14:textId="52DFC0DE" w:rsidR="00A5328C" w:rsidRPr="007F456A" w:rsidRDefault="006059B9">
    <w:pPr>
      <w:pStyle w:val="Footer"/>
      <w:jc w:val="right"/>
      <w:rPr>
        <w:rFonts w:ascii="Arial" w:hAnsi="Arial" w:cs="Arial"/>
        <w:sz w:val="20"/>
        <w:szCs w:val="20"/>
      </w:rPr>
    </w:pPr>
    <w:r w:rsidRPr="007F456A">
      <w:rPr>
        <w:rFonts w:ascii="Arial" w:hAnsi="Arial" w:cs="Arial"/>
        <w:sz w:val="20"/>
        <w:szCs w:val="20"/>
      </w:rPr>
      <w:t>T</w:t>
    </w:r>
    <w:r w:rsidR="000632ED" w:rsidRPr="007F456A">
      <w:rPr>
        <w:rFonts w:ascii="Arial" w:hAnsi="Arial" w:cs="Arial"/>
        <w:sz w:val="20"/>
        <w:szCs w:val="20"/>
      </w:rPr>
      <w:t>ourism data sources and definitions</w:t>
    </w:r>
    <w:r w:rsidR="00913C24" w:rsidRPr="007F456A">
      <w:rPr>
        <w:rFonts w:ascii="Arial" w:hAnsi="Arial" w:cs="Arial"/>
        <w:sz w:val="20"/>
        <w:szCs w:val="20"/>
      </w:rPr>
      <w:t xml:space="preserve"> </w:t>
    </w:r>
    <w:r w:rsidR="00A5328C" w:rsidRPr="007F456A">
      <w:rPr>
        <w:rFonts w:ascii="Arial" w:hAnsi="Arial" w:cs="Arial"/>
        <w:sz w:val="20"/>
        <w:szCs w:val="20"/>
      </w:rPr>
      <w:t xml:space="preserve">– </w:t>
    </w:r>
    <w:r w:rsidR="00256066" w:rsidRPr="007F456A">
      <w:rPr>
        <w:rFonts w:ascii="Arial" w:hAnsi="Arial" w:cs="Arial"/>
        <w:sz w:val="20"/>
        <w:szCs w:val="20"/>
      </w:rPr>
      <w:t>(Optimised for digital accessibility)</w:t>
    </w:r>
    <w:r w:rsidR="00A5328C" w:rsidRPr="007F456A">
      <w:rPr>
        <w:rFonts w:ascii="Arial" w:hAnsi="Arial" w:cs="Arial"/>
        <w:sz w:val="20"/>
        <w:szCs w:val="20"/>
      </w:rPr>
      <w:br/>
      <w:t xml:space="preserve">Page </w:t>
    </w:r>
    <w:sdt>
      <w:sdtPr>
        <w:rPr>
          <w:rFonts w:ascii="Arial" w:hAnsi="Arial" w:cs="Arial"/>
          <w:sz w:val="20"/>
          <w:szCs w:val="20"/>
        </w:rPr>
        <w:id w:val="-1493786459"/>
        <w:docPartObj>
          <w:docPartGallery w:val="Page Numbers (Bottom of Page)"/>
          <w:docPartUnique/>
        </w:docPartObj>
      </w:sdtPr>
      <w:sdtEndPr>
        <w:rPr>
          <w:noProof/>
        </w:rPr>
      </w:sdtEndPr>
      <w:sdtContent>
        <w:r w:rsidR="00A5328C" w:rsidRPr="007F456A">
          <w:rPr>
            <w:rFonts w:ascii="Arial" w:hAnsi="Arial" w:cs="Arial"/>
            <w:sz w:val="20"/>
            <w:szCs w:val="20"/>
          </w:rPr>
          <w:fldChar w:fldCharType="begin"/>
        </w:r>
        <w:r w:rsidR="00A5328C" w:rsidRPr="007F456A">
          <w:rPr>
            <w:rFonts w:ascii="Arial" w:hAnsi="Arial" w:cs="Arial"/>
            <w:sz w:val="20"/>
            <w:szCs w:val="20"/>
          </w:rPr>
          <w:instrText xml:space="preserve"> PAGE   \* MERGEFORMAT </w:instrText>
        </w:r>
        <w:r w:rsidR="00A5328C" w:rsidRPr="007F456A">
          <w:rPr>
            <w:rFonts w:ascii="Arial" w:hAnsi="Arial" w:cs="Arial"/>
            <w:sz w:val="20"/>
            <w:szCs w:val="20"/>
          </w:rPr>
          <w:fldChar w:fldCharType="separate"/>
        </w:r>
        <w:r w:rsidR="00A5328C" w:rsidRPr="007F456A">
          <w:rPr>
            <w:rFonts w:ascii="Arial" w:hAnsi="Arial" w:cs="Arial"/>
            <w:noProof/>
            <w:sz w:val="20"/>
            <w:szCs w:val="20"/>
          </w:rPr>
          <w:t>2</w:t>
        </w:r>
        <w:r w:rsidR="00A5328C" w:rsidRPr="007F456A">
          <w:rPr>
            <w:rFonts w:ascii="Arial" w:hAnsi="Arial" w:cs="Arial"/>
            <w:noProof/>
            <w:sz w:val="20"/>
            <w:szCs w:val="20"/>
          </w:rPr>
          <w:fldChar w:fldCharType="end"/>
        </w:r>
      </w:sdtContent>
    </w:sdt>
  </w:p>
  <w:p w14:paraId="3984D39B" w14:textId="0E44D127" w:rsidR="00A5328C" w:rsidRPr="004C3673" w:rsidRDefault="00A5328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CCF19" w14:textId="77777777" w:rsidR="00C96BF9" w:rsidRDefault="00C96BF9" w:rsidP="00D67AEC">
      <w:pPr>
        <w:spacing w:after="0" w:line="240" w:lineRule="auto"/>
      </w:pPr>
      <w:r>
        <w:separator/>
      </w:r>
    </w:p>
  </w:footnote>
  <w:footnote w:type="continuationSeparator" w:id="0">
    <w:p w14:paraId="64499478" w14:textId="77777777" w:rsidR="00C96BF9" w:rsidRDefault="00C96BF9" w:rsidP="00D67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F63A" w14:textId="79FD09E2" w:rsidR="009A7271" w:rsidRDefault="009A7271">
    <w:pPr>
      <w:pStyle w:val="Header"/>
    </w:pPr>
    <w:r>
      <w:rPr>
        <w:noProof/>
      </w:rPr>
      <mc:AlternateContent>
        <mc:Choice Requires="wps">
          <w:drawing>
            <wp:anchor distT="0" distB="0" distL="114300" distR="114300" simplePos="0" relativeHeight="251659264" behindDoc="0" locked="0" layoutInCell="0" allowOverlap="1" wp14:anchorId="7B711570" wp14:editId="72C7513F">
              <wp:simplePos x="0" y="0"/>
              <wp:positionH relativeFrom="page">
                <wp:posOffset>0</wp:posOffset>
              </wp:positionH>
              <wp:positionV relativeFrom="page">
                <wp:posOffset>190500</wp:posOffset>
              </wp:positionV>
              <wp:extent cx="7560310" cy="252095"/>
              <wp:effectExtent l="0" t="0" r="0" b="14605"/>
              <wp:wrapNone/>
              <wp:docPr id="2" name="MSIPCM3e5b471e857fe08f9b3848b9"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AB9A43" w14:textId="2A422B7D" w:rsidR="009A7271" w:rsidRPr="009A7271" w:rsidRDefault="009A7271" w:rsidP="009A7271">
                          <w:pPr>
                            <w:spacing w:after="0"/>
                            <w:jc w:val="center"/>
                            <w:rPr>
                              <w:rFonts w:ascii="Arial" w:hAnsi="Arial" w:cs="Arial"/>
                              <w:color w:val="000000"/>
                              <w:sz w:val="24"/>
                            </w:rPr>
                          </w:pPr>
                          <w:r w:rsidRPr="009A7271">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711570" id="_x0000_t202" coordsize="21600,21600" o:spt="202" path="m,l,21600r21600,l21600,xe">
              <v:stroke joinstyle="miter"/>
              <v:path gradientshapeok="t" o:connecttype="rect"/>
            </v:shapetype>
            <v:shape id="MSIPCM3e5b471e857fe08f9b3848b9"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EAB9A43" w14:textId="2A422B7D" w:rsidR="009A7271" w:rsidRPr="009A7271" w:rsidRDefault="009A7271" w:rsidP="009A7271">
                    <w:pPr>
                      <w:spacing w:after="0"/>
                      <w:jc w:val="center"/>
                      <w:rPr>
                        <w:rFonts w:ascii="Arial" w:hAnsi="Arial" w:cs="Arial"/>
                        <w:color w:val="000000"/>
                        <w:sz w:val="24"/>
                      </w:rPr>
                    </w:pPr>
                    <w:r w:rsidRPr="009A7271">
                      <w:rPr>
                        <w:rFonts w:ascii="Arial" w:hAnsi="Arial" w:cs="Arial"/>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196"/>
    <w:multiLevelType w:val="hybridMultilevel"/>
    <w:tmpl w:val="B936E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F652AB"/>
    <w:multiLevelType w:val="multilevel"/>
    <w:tmpl w:val="D2628A24"/>
    <w:lvl w:ilvl="0">
      <w:start w:val="3"/>
      <w:numFmt w:val="decimal"/>
      <w:lvlText w:val="%1."/>
      <w:lvlJc w:val="left"/>
      <w:pPr>
        <w:ind w:left="360" w:hanging="360"/>
      </w:pPr>
      <w:rPr>
        <w:rFonts w:hint="default"/>
      </w:rPr>
    </w:lvl>
    <w:lvl w:ilvl="1">
      <w:start w:val="2"/>
      <w:numFmt w:val="decimal"/>
      <w:isLgl/>
      <w:lvlText w:val="%1.%2"/>
      <w:lvlJc w:val="left"/>
      <w:pPr>
        <w:ind w:left="430" w:hanging="4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F432605"/>
    <w:multiLevelType w:val="hybridMultilevel"/>
    <w:tmpl w:val="8F2CF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46E7686"/>
    <w:multiLevelType w:val="hybridMultilevel"/>
    <w:tmpl w:val="62D4F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1A75AC"/>
    <w:multiLevelType w:val="hybridMultilevel"/>
    <w:tmpl w:val="484E5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40B2D3C"/>
    <w:multiLevelType w:val="hybridMultilevel"/>
    <w:tmpl w:val="8B5269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A460055"/>
    <w:multiLevelType w:val="hybridMultilevel"/>
    <w:tmpl w:val="D056EEA4"/>
    <w:lvl w:ilvl="0" w:tplc="0C090001">
      <w:start w:val="1"/>
      <w:numFmt w:val="bullet"/>
      <w:lvlText w:val=""/>
      <w:lvlJc w:val="left"/>
      <w:pPr>
        <w:ind w:left="363"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7" w15:restartNumberingAfterBreak="0">
    <w:nsid w:val="5C586634"/>
    <w:multiLevelType w:val="hybridMultilevel"/>
    <w:tmpl w:val="5A46A8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42F2EAD"/>
    <w:multiLevelType w:val="hybridMultilevel"/>
    <w:tmpl w:val="C36EE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5C434E"/>
    <w:multiLevelType w:val="hybridMultilevel"/>
    <w:tmpl w:val="137A6D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90D3DE7"/>
    <w:multiLevelType w:val="hybridMultilevel"/>
    <w:tmpl w:val="BA807030"/>
    <w:lvl w:ilvl="0" w:tplc="0C09000F">
      <w:start w:val="7"/>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7EF9662C"/>
    <w:multiLevelType w:val="hybridMultilevel"/>
    <w:tmpl w:val="D11A8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939790">
    <w:abstractNumId w:val="5"/>
  </w:num>
  <w:num w:numId="2" w16cid:durableId="1293055904">
    <w:abstractNumId w:val="2"/>
  </w:num>
  <w:num w:numId="3" w16cid:durableId="99179926">
    <w:abstractNumId w:val="11"/>
  </w:num>
  <w:num w:numId="4" w16cid:durableId="1821265443">
    <w:abstractNumId w:val="6"/>
  </w:num>
  <w:num w:numId="5" w16cid:durableId="1255701155">
    <w:abstractNumId w:val="3"/>
  </w:num>
  <w:num w:numId="6" w16cid:durableId="771898443">
    <w:abstractNumId w:val="4"/>
  </w:num>
  <w:num w:numId="7" w16cid:durableId="1887717486">
    <w:abstractNumId w:val="7"/>
  </w:num>
  <w:num w:numId="8" w16cid:durableId="1599828011">
    <w:abstractNumId w:val="0"/>
  </w:num>
  <w:num w:numId="9" w16cid:durableId="1878271571">
    <w:abstractNumId w:val="9"/>
  </w:num>
  <w:num w:numId="10" w16cid:durableId="1941450556">
    <w:abstractNumId w:val="1"/>
  </w:num>
  <w:num w:numId="11" w16cid:durableId="1449815533">
    <w:abstractNumId w:val="10"/>
  </w:num>
  <w:num w:numId="12" w16cid:durableId="150577984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44"/>
    <w:rsid w:val="00021641"/>
    <w:rsid w:val="00062D13"/>
    <w:rsid w:val="000632ED"/>
    <w:rsid w:val="00066B2B"/>
    <w:rsid w:val="00074AAF"/>
    <w:rsid w:val="0008003A"/>
    <w:rsid w:val="000813D3"/>
    <w:rsid w:val="00091A0C"/>
    <w:rsid w:val="00094511"/>
    <w:rsid w:val="00096E1F"/>
    <w:rsid w:val="000D15F7"/>
    <w:rsid w:val="000D33AC"/>
    <w:rsid w:val="000D4639"/>
    <w:rsid w:val="000D63CF"/>
    <w:rsid w:val="001145EE"/>
    <w:rsid w:val="00116B02"/>
    <w:rsid w:val="0012094A"/>
    <w:rsid w:val="00125CD7"/>
    <w:rsid w:val="00134E35"/>
    <w:rsid w:val="00137E0F"/>
    <w:rsid w:val="0014194E"/>
    <w:rsid w:val="001627D1"/>
    <w:rsid w:val="00162EDF"/>
    <w:rsid w:val="00163FAB"/>
    <w:rsid w:val="00170A03"/>
    <w:rsid w:val="00172939"/>
    <w:rsid w:val="001938CE"/>
    <w:rsid w:val="00194E23"/>
    <w:rsid w:val="001A0DD6"/>
    <w:rsid w:val="001A2FE1"/>
    <w:rsid w:val="001A795A"/>
    <w:rsid w:val="001B4C04"/>
    <w:rsid w:val="001B72CB"/>
    <w:rsid w:val="001B7425"/>
    <w:rsid w:val="001C7155"/>
    <w:rsid w:val="001D238C"/>
    <w:rsid w:val="001D4A45"/>
    <w:rsid w:val="001D76F4"/>
    <w:rsid w:val="001E0D55"/>
    <w:rsid w:val="001E1426"/>
    <w:rsid w:val="001E6BDF"/>
    <w:rsid w:val="0020294C"/>
    <w:rsid w:val="00203332"/>
    <w:rsid w:val="002055EC"/>
    <w:rsid w:val="00213F26"/>
    <w:rsid w:val="00220233"/>
    <w:rsid w:val="002234E9"/>
    <w:rsid w:val="00226308"/>
    <w:rsid w:val="0022685F"/>
    <w:rsid w:val="00243731"/>
    <w:rsid w:val="00244F81"/>
    <w:rsid w:val="00245970"/>
    <w:rsid w:val="0024754A"/>
    <w:rsid w:val="00256066"/>
    <w:rsid w:val="002614AA"/>
    <w:rsid w:val="002716CB"/>
    <w:rsid w:val="00275DED"/>
    <w:rsid w:val="002770E7"/>
    <w:rsid w:val="00287462"/>
    <w:rsid w:val="002A46DE"/>
    <w:rsid w:val="002C2DBE"/>
    <w:rsid w:val="002D4208"/>
    <w:rsid w:val="002D74B9"/>
    <w:rsid w:val="002E5FBC"/>
    <w:rsid w:val="00301E77"/>
    <w:rsid w:val="003024D6"/>
    <w:rsid w:val="00306BFC"/>
    <w:rsid w:val="00313FB0"/>
    <w:rsid w:val="00317713"/>
    <w:rsid w:val="00321471"/>
    <w:rsid w:val="00331481"/>
    <w:rsid w:val="00333F69"/>
    <w:rsid w:val="00352A73"/>
    <w:rsid w:val="003613C3"/>
    <w:rsid w:val="003672E4"/>
    <w:rsid w:val="00372768"/>
    <w:rsid w:val="0037295D"/>
    <w:rsid w:val="00374099"/>
    <w:rsid w:val="00374B41"/>
    <w:rsid w:val="00380DBF"/>
    <w:rsid w:val="003833B6"/>
    <w:rsid w:val="003965FA"/>
    <w:rsid w:val="003A50CD"/>
    <w:rsid w:val="003B0E98"/>
    <w:rsid w:val="003B7F27"/>
    <w:rsid w:val="003C692E"/>
    <w:rsid w:val="003D247E"/>
    <w:rsid w:val="003D7BA1"/>
    <w:rsid w:val="003E09B4"/>
    <w:rsid w:val="003E58D9"/>
    <w:rsid w:val="003F40FE"/>
    <w:rsid w:val="003F5FD1"/>
    <w:rsid w:val="004070F0"/>
    <w:rsid w:val="004229B5"/>
    <w:rsid w:val="004511C4"/>
    <w:rsid w:val="00452AF6"/>
    <w:rsid w:val="00463545"/>
    <w:rsid w:val="004641F3"/>
    <w:rsid w:val="00466DF8"/>
    <w:rsid w:val="00482864"/>
    <w:rsid w:val="00493B5D"/>
    <w:rsid w:val="00497F51"/>
    <w:rsid w:val="004A7C9B"/>
    <w:rsid w:val="004B6A64"/>
    <w:rsid w:val="004C3673"/>
    <w:rsid w:val="004D2C9A"/>
    <w:rsid w:val="004E05A9"/>
    <w:rsid w:val="004E607E"/>
    <w:rsid w:val="00511DA1"/>
    <w:rsid w:val="00534ABB"/>
    <w:rsid w:val="0053699F"/>
    <w:rsid w:val="00544AB2"/>
    <w:rsid w:val="00546B61"/>
    <w:rsid w:val="00556467"/>
    <w:rsid w:val="0055720C"/>
    <w:rsid w:val="0056274E"/>
    <w:rsid w:val="005653C7"/>
    <w:rsid w:val="00584B44"/>
    <w:rsid w:val="00590DBA"/>
    <w:rsid w:val="00591A8B"/>
    <w:rsid w:val="00592259"/>
    <w:rsid w:val="005940D0"/>
    <w:rsid w:val="005A142E"/>
    <w:rsid w:val="005B3DE8"/>
    <w:rsid w:val="005F1A69"/>
    <w:rsid w:val="005F24F1"/>
    <w:rsid w:val="006057D0"/>
    <w:rsid w:val="006059B9"/>
    <w:rsid w:val="00621972"/>
    <w:rsid w:val="0062735C"/>
    <w:rsid w:val="006417FD"/>
    <w:rsid w:val="0065181E"/>
    <w:rsid w:val="00651F30"/>
    <w:rsid w:val="00665191"/>
    <w:rsid w:val="00671A7B"/>
    <w:rsid w:val="00680C1E"/>
    <w:rsid w:val="006A027D"/>
    <w:rsid w:val="006A5372"/>
    <w:rsid w:val="006D59B1"/>
    <w:rsid w:val="006F5492"/>
    <w:rsid w:val="00713972"/>
    <w:rsid w:val="00714036"/>
    <w:rsid w:val="00715AD4"/>
    <w:rsid w:val="007332DF"/>
    <w:rsid w:val="0074726A"/>
    <w:rsid w:val="007546C9"/>
    <w:rsid w:val="007621A7"/>
    <w:rsid w:val="007759BC"/>
    <w:rsid w:val="00777130"/>
    <w:rsid w:val="007771EE"/>
    <w:rsid w:val="0078086C"/>
    <w:rsid w:val="00782A6F"/>
    <w:rsid w:val="0078613B"/>
    <w:rsid w:val="00793EEA"/>
    <w:rsid w:val="00795E71"/>
    <w:rsid w:val="007A16E5"/>
    <w:rsid w:val="007A606A"/>
    <w:rsid w:val="007B44E2"/>
    <w:rsid w:val="007C3188"/>
    <w:rsid w:val="007C500D"/>
    <w:rsid w:val="007D2833"/>
    <w:rsid w:val="007D3DC6"/>
    <w:rsid w:val="007D6B1A"/>
    <w:rsid w:val="007E5522"/>
    <w:rsid w:val="007E57AD"/>
    <w:rsid w:val="007F3413"/>
    <w:rsid w:val="007F456A"/>
    <w:rsid w:val="00802822"/>
    <w:rsid w:val="008036F0"/>
    <w:rsid w:val="0082032F"/>
    <w:rsid w:val="00822EA7"/>
    <w:rsid w:val="008345D1"/>
    <w:rsid w:val="008431B7"/>
    <w:rsid w:val="00845C30"/>
    <w:rsid w:val="00846E0D"/>
    <w:rsid w:val="00860168"/>
    <w:rsid w:val="008649C2"/>
    <w:rsid w:val="00875993"/>
    <w:rsid w:val="008A0BF7"/>
    <w:rsid w:val="008B478E"/>
    <w:rsid w:val="008C4C4C"/>
    <w:rsid w:val="008F52B0"/>
    <w:rsid w:val="008F5755"/>
    <w:rsid w:val="00913C24"/>
    <w:rsid w:val="00914D2E"/>
    <w:rsid w:val="009163BD"/>
    <w:rsid w:val="00931169"/>
    <w:rsid w:val="00932B31"/>
    <w:rsid w:val="00941C52"/>
    <w:rsid w:val="0094203E"/>
    <w:rsid w:val="009451AA"/>
    <w:rsid w:val="009564DE"/>
    <w:rsid w:val="00956625"/>
    <w:rsid w:val="00975585"/>
    <w:rsid w:val="00976F81"/>
    <w:rsid w:val="009862F5"/>
    <w:rsid w:val="00993DB1"/>
    <w:rsid w:val="009944FE"/>
    <w:rsid w:val="009970AB"/>
    <w:rsid w:val="00997CD8"/>
    <w:rsid w:val="009A7271"/>
    <w:rsid w:val="009A7E86"/>
    <w:rsid w:val="009C0BFA"/>
    <w:rsid w:val="009C1934"/>
    <w:rsid w:val="009C1C3C"/>
    <w:rsid w:val="009C3558"/>
    <w:rsid w:val="009C3792"/>
    <w:rsid w:val="009C715E"/>
    <w:rsid w:val="009D1DF1"/>
    <w:rsid w:val="009E0E1E"/>
    <w:rsid w:val="009E2877"/>
    <w:rsid w:val="009E5319"/>
    <w:rsid w:val="009F49E8"/>
    <w:rsid w:val="00A03BAA"/>
    <w:rsid w:val="00A07349"/>
    <w:rsid w:val="00A33346"/>
    <w:rsid w:val="00A33C3B"/>
    <w:rsid w:val="00A46AEB"/>
    <w:rsid w:val="00A5328C"/>
    <w:rsid w:val="00A72164"/>
    <w:rsid w:val="00A7302D"/>
    <w:rsid w:val="00A81A96"/>
    <w:rsid w:val="00A85FC0"/>
    <w:rsid w:val="00A8714D"/>
    <w:rsid w:val="00A90633"/>
    <w:rsid w:val="00A906AB"/>
    <w:rsid w:val="00A9314F"/>
    <w:rsid w:val="00AA3635"/>
    <w:rsid w:val="00AA3D27"/>
    <w:rsid w:val="00AA608B"/>
    <w:rsid w:val="00AB2377"/>
    <w:rsid w:val="00AC0EEE"/>
    <w:rsid w:val="00AC6297"/>
    <w:rsid w:val="00AE0ACF"/>
    <w:rsid w:val="00AF11B8"/>
    <w:rsid w:val="00AF5037"/>
    <w:rsid w:val="00AF50A4"/>
    <w:rsid w:val="00AF56E3"/>
    <w:rsid w:val="00B0451F"/>
    <w:rsid w:val="00B33AA0"/>
    <w:rsid w:val="00B37D45"/>
    <w:rsid w:val="00B47DF0"/>
    <w:rsid w:val="00B50B90"/>
    <w:rsid w:val="00B50C68"/>
    <w:rsid w:val="00B63458"/>
    <w:rsid w:val="00B72475"/>
    <w:rsid w:val="00B759EF"/>
    <w:rsid w:val="00B95EE7"/>
    <w:rsid w:val="00BA2116"/>
    <w:rsid w:val="00BA69A2"/>
    <w:rsid w:val="00BD28C0"/>
    <w:rsid w:val="00BE1D31"/>
    <w:rsid w:val="00BE2543"/>
    <w:rsid w:val="00C03F81"/>
    <w:rsid w:val="00C058D3"/>
    <w:rsid w:val="00C12181"/>
    <w:rsid w:val="00C25523"/>
    <w:rsid w:val="00C33B90"/>
    <w:rsid w:val="00C35F6B"/>
    <w:rsid w:val="00C44FE4"/>
    <w:rsid w:val="00C47D51"/>
    <w:rsid w:val="00C5328C"/>
    <w:rsid w:val="00C57EFD"/>
    <w:rsid w:val="00C60EC6"/>
    <w:rsid w:val="00C630E2"/>
    <w:rsid w:val="00C630F4"/>
    <w:rsid w:val="00C66016"/>
    <w:rsid w:val="00C8398F"/>
    <w:rsid w:val="00C8708D"/>
    <w:rsid w:val="00C95A39"/>
    <w:rsid w:val="00C95FA4"/>
    <w:rsid w:val="00C96BF9"/>
    <w:rsid w:val="00CA2BEA"/>
    <w:rsid w:val="00CB2497"/>
    <w:rsid w:val="00CB725D"/>
    <w:rsid w:val="00CD2FD7"/>
    <w:rsid w:val="00CF1311"/>
    <w:rsid w:val="00CF3CA2"/>
    <w:rsid w:val="00D004F6"/>
    <w:rsid w:val="00D128DE"/>
    <w:rsid w:val="00D2157D"/>
    <w:rsid w:val="00D236AE"/>
    <w:rsid w:val="00D263AF"/>
    <w:rsid w:val="00D306EB"/>
    <w:rsid w:val="00D35F4F"/>
    <w:rsid w:val="00D615C8"/>
    <w:rsid w:val="00D6194D"/>
    <w:rsid w:val="00D6218A"/>
    <w:rsid w:val="00D66A3C"/>
    <w:rsid w:val="00D67AEC"/>
    <w:rsid w:val="00D7042D"/>
    <w:rsid w:val="00D75C1E"/>
    <w:rsid w:val="00D8101A"/>
    <w:rsid w:val="00D917B8"/>
    <w:rsid w:val="00D96699"/>
    <w:rsid w:val="00DA7B43"/>
    <w:rsid w:val="00DC266D"/>
    <w:rsid w:val="00DF568D"/>
    <w:rsid w:val="00DF6641"/>
    <w:rsid w:val="00E00D9D"/>
    <w:rsid w:val="00E0228E"/>
    <w:rsid w:val="00E1043F"/>
    <w:rsid w:val="00E10F32"/>
    <w:rsid w:val="00E15970"/>
    <w:rsid w:val="00E162D1"/>
    <w:rsid w:val="00E26A4F"/>
    <w:rsid w:val="00E375A8"/>
    <w:rsid w:val="00E37A04"/>
    <w:rsid w:val="00E40CC6"/>
    <w:rsid w:val="00E44444"/>
    <w:rsid w:val="00E477CA"/>
    <w:rsid w:val="00E529AB"/>
    <w:rsid w:val="00E52D61"/>
    <w:rsid w:val="00E53DB9"/>
    <w:rsid w:val="00E61091"/>
    <w:rsid w:val="00E70634"/>
    <w:rsid w:val="00E75B06"/>
    <w:rsid w:val="00E82AC5"/>
    <w:rsid w:val="00E857C2"/>
    <w:rsid w:val="00E94DAD"/>
    <w:rsid w:val="00EA1605"/>
    <w:rsid w:val="00EA3692"/>
    <w:rsid w:val="00EA7431"/>
    <w:rsid w:val="00EC0604"/>
    <w:rsid w:val="00ED65DE"/>
    <w:rsid w:val="00EF05DE"/>
    <w:rsid w:val="00EF3710"/>
    <w:rsid w:val="00F00CB9"/>
    <w:rsid w:val="00F02CEC"/>
    <w:rsid w:val="00F148D1"/>
    <w:rsid w:val="00F15390"/>
    <w:rsid w:val="00F20825"/>
    <w:rsid w:val="00F44FF7"/>
    <w:rsid w:val="00F45AE7"/>
    <w:rsid w:val="00F46998"/>
    <w:rsid w:val="00F54DA7"/>
    <w:rsid w:val="00F76937"/>
    <w:rsid w:val="00F85D28"/>
    <w:rsid w:val="00F906AA"/>
    <w:rsid w:val="00F91E58"/>
    <w:rsid w:val="00F957D5"/>
    <w:rsid w:val="00FA12C7"/>
    <w:rsid w:val="00FA5EA0"/>
    <w:rsid w:val="00FB7E98"/>
    <w:rsid w:val="00FC60EA"/>
    <w:rsid w:val="00FD1A7D"/>
    <w:rsid w:val="00FD3BFF"/>
    <w:rsid w:val="00FD5FE5"/>
    <w:rsid w:val="00FD7E34"/>
    <w:rsid w:val="00FE172B"/>
    <w:rsid w:val="00FE26C9"/>
    <w:rsid w:val="00FE4B99"/>
    <w:rsid w:val="00FE5227"/>
    <w:rsid w:val="00FE6718"/>
    <w:rsid w:val="00FF5D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40E8"/>
  <w15:chartTrackingRefBased/>
  <w15:docId w15:val="{4B653218-2B89-490C-990F-AC187B72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4F1"/>
  </w:style>
  <w:style w:type="paragraph" w:styleId="Heading1">
    <w:name w:val="heading 1"/>
    <w:basedOn w:val="Normal"/>
    <w:next w:val="Normal"/>
    <w:link w:val="Heading1Char"/>
    <w:uiPriority w:val="9"/>
    <w:qFormat/>
    <w:rsid w:val="00E44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4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564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44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444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44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4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44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564DE"/>
    <w:rPr>
      <w:rFonts w:asciiTheme="majorHAnsi" w:eastAsiaTheme="majorEastAsia" w:hAnsiTheme="majorHAnsi" w:cstheme="majorBidi"/>
      <w:color w:val="1F3763" w:themeColor="accent1" w:themeShade="7F"/>
      <w:sz w:val="24"/>
      <w:szCs w:val="24"/>
    </w:rPr>
  </w:style>
  <w:style w:type="character" w:customStyle="1" w:styleId="markedcontent">
    <w:name w:val="markedcontent"/>
    <w:basedOn w:val="DefaultParagraphFont"/>
    <w:rsid w:val="009564DE"/>
  </w:style>
  <w:style w:type="paragraph" w:styleId="ListParagraph">
    <w:name w:val="List Paragraph"/>
    <w:basedOn w:val="Normal"/>
    <w:uiPriority w:val="34"/>
    <w:qFormat/>
    <w:rsid w:val="009564DE"/>
    <w:pPr>
      <w:ind w:left="720"/>
      <w:contextualSpacing/>
    </w:pPr>
  </w:style>
  <w:style w:type="character" w:styleId="CommentReference">
    <w:name w:val="annotation reference"/>
    <w:basedOn w:val="DefaultParagraphFont"/>
    <w:uiPriority w:val="99"/>
    <w:semiHidden/>
    <w:unhideWhenUsed/>
    <w:rsid w:val="009564DE"/>
    <w:rPr>
      <w:sz w:val="16"/>
      <w:szCs w:val="16"/>
    </w:rPr>
  </w:style>
  <w:style w:type="paragraph" w:styleId="CommentText">
    <w:name w:val="annotation text"/>
    <w:basedOn w:val="Normal"/>
    <w:link w:val="CommentTextChar"/>
    <w:uiPriority w:val="99"/>
    <w:unhideWhenUsed/>
    <w:rsid w:val="009564DE"/>
    <w:pPr>
      <w:spacing w:line="240" w:lineRule="auto"/>
    </w:pPr>
    <w:rPr>
      <w:sz w:val="20"/>
      <w:szCs w:val="20"/>
    </w:rPr>
  </w:style>
  <w:style w:type="character" w:customStyle="1" w:styleId="CommentTextChar">
    <w:name w:val="Comment Text Char"/>
    <w:basedOn w:val="DefaultParagraphFont"/>
    <w:link w:val="CommentText"/>
    <w:uiPriority w:val="99"/>
    <w:rsid w:val="009564DE"/>
    <w:rPr>
      <w:sz w:val="20"/>
      <w:szCs w:val="20"/>
    </w:rPr>
  </w:style>
  <w:style w:type="paragraph" w:styleId="CommentSubject">
    <w:name w:val="annotation subject"/>
    <w:basedOn w:val="CommentText"/>
    <w:next w:val="CommentText"/>
    <w:link w:val="CommentSubjectChar"/>
    <w:uiPriority w:val="99"/>
    <w:semiHidden/>
    <w:unhideWhenUsed/>
    <w:rsid w:val="009564DE"/>
    <w:rPr>
      <w:b/>
      <w:bCs/>
    </w:rPr>
  </w:style>
  <w:style w:type="character" w:customStyle="1" w:styleId="CommentSubjectChar">
    <w:name w:val="Comment Subject Char"/>
    <w:basedOn w:val="CommentTextChar"/>
    <w:link w:val="CommentSubject"/>
    <w:uiPriority w:val="99"/>
    <w:semiHidden/>
    <w:rsid w:val="009564DE"/>
    <w:rPr>
      <w:b/>
      <w:bCs/>
      <w:sz w:val="20"/>
      <w:szCs w:val="20"/>
    </w:rPr>
  </w:style>
  <w:style w:type="paragraph" w:styleId="Header">
    <w:name w:val="header"/>
    <w:basedOn w:val="Normal"/>
    <w:link w:val="HeaderChar"/>
    <w:uiPriority w:val="99"/>
    <w:unhideWhenUsed/>
    <w:rsid w:val="00D67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EC"/>
  </w:style>
  <w:style w:type="paragraph" w:styleId="Footer">
    <w:name w:val="footer"/>
    <w:basedOn w:val="Normal"/>
    <w:link w:val="FooterChar"/>
    <w:uiPriority w:val="99"/>
    <w:unhideWhenUsed/>
    <w:rsid w:val="00D67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EC"/>
  </w:style>
  <w:style w:type="paragraph" w:styleId="TOC1">
    <w:name w:val="toc 1"/>
    <w:basedOn w:val="Normal"/>
    <w:next w:val="Normal"/>
    <w:autoRedefine/>
    <w:uiPriority w:val="39"/>
    <w:unhideWhenUsed/>
    <w:rsid w:val="007546C9"/>
    <w:pPr>
      <w:spacing w:after="100"/>
    </w:pPr>
  </w:style>
  <w:style w:type="paragraph" w:styleId="TOC2">
    <w:name w:val="toc 2"/>
    <w:basedOn w:val="Normal"/>
    <w:next w:val="Normal"/>
    <w:autoRedefine/>
    <w:uiPriority w:val="39"/>
    <w:unhideWhenUsed/>
    <w:rsid w:val="007546C9"/>
    <w:pPr>
      <w:spacing w:after="100"/>
      <w:ind w:left="220"/>
    </w:pPr>
  </w:style>
  <w:style w:type="character" w:styleId="Hyperlink">
    <w:name w:val="Hyperlink"/>
    <w:basedOn w:val="DefaultParagraphFont"/>
    <w:uiPriority w:val="99"/>
    <w:unhideWhenUsed/>
    <w:rsid w:val="007546C9"/>
    <w:rPr>
      <w:color w:val="0563C1" w:themeColor="hyperlink"/>
      <w:u w:val="single"/>
    </w:rPr>
  </w:style>
  <w:style w:type="character" w:styleId="UnresolvedMention">
    <w:name w:val="Unresolved Mention"/>
    <w:basedOn w:val="DefaultParagraphFont"/>
    <w:uiPriority w:val="99"/>
    <w:semiHidden/>
    <w:unhideWhenUsed/>
    <w:rsid w:val="005F24F1"/>
    <w:rPr>
      <w:color w:val="605E5C"/>
      <w:shd w:val="clear" w:color="auto" w:fill="E1DFDD"/>
    </w:rPr>
  </w:style>
  <w:style w:type="paragraph" w:styleId="Subtitle">
    <w:name w:val="Subtitle"/>
    <w:basedOn w:val="Normal"/>
    <w:next w:val="Normal"/>
    <w:link w:val="SubtitleChar"/>
    <w:uiPriority w:val="11"/>
    <w:qFormat/>
    <w:rsid w:val="00497F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F51"/>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213F26"/>
    <w:rPr>
      <w:color w:val="954F72" w:themeColor="followedHyperlink"/>
      <w:u w:val="single"/>
    </w:rPr>
  </w:style>
  <w:style w:type="paragraph" w:customStyle="1" w:styleId="Default">
    <w:name w:val="Default"/>
    <w:rsid w:val="009970AB"/>
    <w:pPr>
      <w:autoSpaceDE w:val="0"/>
      <w:autoSpaceDN w:val="0"/>
      <w:adjustRightInd w:val="0"/>
      <w:spacing w:after="0" w:line="240" w:lineRule="auto"/>
    </w:pPr>
    <w:rPr>
      <w:rFonts w:ascii="VIC" w:eastAsiaTheme="minorEastAsia" w:hAnsi="VIC" w:cs="V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069">
      <w:bodyDiv w:val="1"/>
      <w:marLeft w:val="0"/>
      <w:marRight w:val="0"/>
      <w:marTop w:val="0"/>
      <w:marBottom w:val="0"/>
      <w:divBdr>
        <w:top w:val="none" w:sz="0" w:space="0" w:color="auto"/>
        <w:left w:val="none" w:sz="0" w:space="0" w:color="auto"/>
        <w:bottom w:val="none" w:sz="0" w:space="0" w:color="auto"/>
        <w:right w:val="none" w:sz="0" w:space="0" w:color="auto"/>
      </w:divBdr>
      <w:divsChild>
        <w:div w:id="1273827953">
          <w:marLeft w:val="274"/>
          <w:marRight w:val="0"/>
          <w:marTop w:val="0"/>
          <w:marBottom w:val="120"/>
          <w:divBdr>
            <w:top w:val="none" w:sz="0" w:space="0" w:color="auto"/>
            <w:left w:val="none" w:sz="0" w:space="0" w:color="auto"/>
            <w:bottom w:val="none" w:sz="0" w:space="0" w:color="auto"/>
            <w:right w:val="none" w:sz="0" w:space="0" w:color="auto"/>
          </w:divBdr>
        </w:div>
      </w:divsChild>
    </w:div>
    <w:div w:id="44763248">
      <w:bodyDiv w:val="1"/>
      <w:marLeft w:val="0"/>
      <w:marRight w:val="0"/>
      <w:marTop w:val="0"/>
      <w:marBottom w:val="0"/>
      <w:divBdr>
        <w:top w:val="none" w:sz="0" w:space="0" w:color="auto"/>
        <w:left w:val="none" w:sz="0" w:space="0" w:color="auto"/>
        <w:bottom w:val="none" w:sz="0" w:space="0" w:color="auto"/>
        <w:right w:val="none" w:sz="0" w:space="0" w:color="auto"/>
      </w:divBdr>
    </w:div>
    <w:div w:id="45766062">
      <w:bodyDiv w:val="1"/>
      <w:marLeft w:val="0"/>
      <w:marRight w:val="0"/>
      <w:marTop w:val="0"/>
      <w:marBottom w:val="0"/>
      <w:divBdr>
        <w:top w:val="none" w:sz="0" w:space="0" w:color="auto"/>
        <w:left w:val="none" w:sz="0" w:space="0" w:color="auto"/>
        <w:bottom w:val="none" w:sz="0" w:space="0" w:color="auto"/>
        <w:right w:val="none" w:sz="0" w:space="0" w:color="auto"/>
      </w:divBdr>
      <w:divsChild>
        <w:div w:id="60565234">
          <w:marLeft w:val="274"/>
          <w:marRight w:val="0"/>
          <w:marTop w:val="120"/>
          <w:marBottom w:val="120"/>
          <w:divBdr>
            <w:top w:val="none" w:sz="0" w:space="0" w:color="auto"/>
            <w:left w:val="none" w:sz="0" w:space="0" w:color="auto"/>
            <w:bottom w:val="none" w:sz="0" w:space="0" w:color="auto"/>
            <w:right w:val="none" w:sz="0" w:space="0" w:color="auto"/>
          </w:divBdr>
        </w:div>
        <w:div w:id="833683616">
          <w:marLeft w:val="274"/>
          <w:marRight w:val="0"/>
          <w:marTop w:val="120"/>
          <w:marBottom w:val="120"/>
          <w:divBdr>
            <w:top w:val="none" w:sz="0" w:space="0" w:color="auto"/>
            <w:left w:val="none" w:sz="0" w:space="0" w:color="auto"/>
            <w:bottom w:val="none" w:sz="0" w:space="0" w:color="auto"/>
            <w:right w:val="none" w:sz="0" w:space="0" w:color="auto"/>
          </w:divBdr>
        </w:div>
      </w:divsChild>
    </w:div>
    <w:div w:id="71632338">
      <w:bodyDiv w:val="1"/>
      <w:marLeft w:val="0"/>
      <w:marRight w:val="0"/>
      <w:marTop w:val="0"/>
      <w:marBottom w:val="0"/>
      <w:divBdr>
        <w:top w:val="none" w:sz="0" w:space="0" w:color="auto"/>
        <w:left w:val="none" w:sz="0" w:space="0" w:color="auto"/>
        <w:bottom w:val="none" w:sz="0" w:space="0" w:color="auto"/>
        <w:right w:val="none" w:sz="0" w:space="0" w:color="auto"/>
      </w:divBdr>
      <w:divsChild>
        <w:div w:id="1380209640">
          <w:marLeft w:val="274"/>
          <w:marRight w:val="0"/>
          <w:marTop w:val="60"/>
          <w:marBottom w:val="40"/>
          <w:divBdr>
            <w:top w:val="none" w:sz="0" w:space="0" w:color="auto"/>
            <w:left w:val="none" w:sz="0" w:space="0" w:color="auto"/>
            <w:bottom w:val="none" w:sz="0" w:space="0" w:color="auto"/>
            <w:right w:val="none" w:sz="0" w:space="0" w:color="auto"/>
          </w:divBdr>
        </w:div>
        <w:div w:id="1350139611">
          <w:marLeft w:val="274"/>
          <w:marRight w:val="0"/>
          <w:marTop w:val="60"/>
          <w:marBottom w:val="40"/>
          <w:divBdr>
            <w:top w:val="none" w:sz="0" w:space="0" w:color="auto"/>
            <w:left w:val="none" w:sz="0" w:space="0" w:color="auto"/>
            <w:bottom w:val="none" w:sz="0" w:space="0" w:color="auto"/>
            <w:right w:val="none" w:sz="0" w:space="0" w:color="auto"/>
          </w:divBdr>
        </w:div>
        <w:div w:id="1059863822">
          <w:marLeft w:val="274"/>
          <w:marRight w:val="0"/>
          <w:marTop w:val="60"/>
          <w:marBottom w:val="40"/>
          <w:divBdr>
            <w:top w:val="none" w:sz="0" w:space="0" w:color="auto"/>
            <w:left w:val="none" w:sz="0" w:space="0" w:color="auto"/>
            <w:bottom w:val="none" w:sz="0" w:space="0" w:color="auto"/>
            <w:right w:val="none" w:sz="0" w:space="0" w:color="auto"/>
          </w:divBdr>
        </w:div>
        <w:div w:id="1218787282">
          <w:marLeft w:val="274"/>
          <w:marRight w:val="0"/>
          <w:marTop w:val="60"/>
          <w:marBottom w:val="40"/>
          <w:divBdr>
            <w:top w:val="none" w:sz="0" w:space="0" w:color="auto"/>
            <w:left w:val="none" w:sz="0" w:space="0" w:color="auto"/>
            <w:bottom w:val="none" w:sz="0" w:space="0" w:color="auto"/>
            <w:right w:val="none" w:sz="0" w:space="0" w:color="auto"/>
          </w:divBdr>
        </w:div>
      </w:divsChild>
    </w:div>
    <w:div w:id="130709257">
      <w:bodyDiv w:val="1"/>
      <w:marLeft w:val="0"/>
      <w:marRight w:val="0"/>
      <w:marTop w:val="0"/>
      <w:marBottom w:val="0"/>
      <w:divBdr>
        <w:top w:val="none" w:sz="0" w:space="0" w:color="auto"/>
        <w:left w:val="none" w:sz="0" w:space="0" w:color="auto"/>
        <w:bottom w:val="none" w:sz="0" w:space="0" w:color="auto"/>
        <w:right w:val="none" w:sz="0" w:space="0" w:color="auto"/>
      </w:divBdr>
      <w:divsChild>
        <w:div w:id="361833014">
          <w:marLeft w:val="274"/>
          <w:marRight w:val="0"/>
          <w:marTop w:val="40"/>
          <w:marBottom w:val="80"/>
          <w:divBdr>
            <w:top w:val="none" w:sz="0" w:space="0" w:color="auto"/>
            <w:left w:val="none" w:sz="0" w:space="0" w:color="auto"/>
            <w:bottom w:val="none" w:sz="0" w:space="0" w:color="auto"/>
            <w:right w:val="none" w:sz="0" w:space="0" w:color="auto"/>
          </w:divBdr>
        </w:div>
      </w:divsChild>
    </w:div>
    <w:div w:id="179902069">
      <w:bodyDiv w:val="1"/>
      <w:marLeft w:val="0"/>
      <w:marRight w:val="0"/>
      <w:marTop w:val="0"/>
      <w:marBottom w:val="0"/>
      <w:divBdr>
        <w:top w:val="none" w:sz="0" w:space="0" w:color="auto"/>
        <w:left w:val="none" w:sz="0" w:space="0" w:color="auto"/>
        <w:bottom w:val="none" w:sz="0" w:space="0" w:color="auto"/>
        <w:right w:val="none" w:sz="0" w:space="0" w:color="auto"/>
      </w:divBdr>
      <w:divsChild>
        <w:div w:id="957446705">
          <w:marLeft w:val="274"/>
          <w:marRight w:val="0"/>
          <w:marTop w:val="120"/>
          <w:marBottom w:val="120"/>
          <w:divBdr>
            <w:top w:val="none" w:sz="0" w:space="0" w:color="auto"/>
            <w:left w:val="none" w:sz="0" w:space="0" w:color="auto"/>
            <w:bottom w:val="none" w:sz="0" w:space="0" w:color="auto"/>
            <w:right w:val="none" w:sz="0" w:space="0" w:color="auto"/>
          </w:divBdr>
        </w:div>
        <w:div w:id="349528725">
          <w:marLeft w:val="274"/>
          <w:marRight w:val="0"/>
          <w:marTop w:val="120"/>
          <w:marBottom w:val="120"/>
          <w:divBdr>
            <w:top w:val="none" w:sz="0" w:space="0" w:color="auto"/>
            <w:left w:val="none" w:sz="0" w:space="0" w:color="auto"/>
            <w:bottom w:val="none" w:sz="0" w:space="0" w:color="auto"/>
            <w:right w:val="none" w:sz="0" w:space="0" w:color="auto"/>
          </w:divBdr>
        </w:div>
      </w:divsChild>
    </w:div>
    <w:div w:id="213125909">
      <w:bodyDiv w:val="1"/>
      <w:marLeft w:val="0"/>
      <w:marRight w:val="0"/>
      <w:marTop w:val="0"/>
      <w:marBottom w:val="0"/>
      <w:divBdr>
        <w:top w:val="none" w:sz="0" w:space="0" w:color="auto"/>
        <w:left w:val="none" w:sz="0" w:space="0" w:color="auto"/>
        <w:bottom w:val="none" w:sz="0" w:space="0" w:color="auto"/>
        <w:right w:val="none" w:sz="0" w:space="0" w:color="auto"/>
      </w:divBdr>
    </w:div>
    <w:div w:id="257640004">
      <w:bodyDiv w:val="1"/>
      <w:marLeft w:val="0"/>
      <w:marRight w:val="0"/>
      <w:marTop w:val="0"/>
      <w:marBottom w:val="0"/>
      <w:divBdr>
        <w:top w:val="none" w:sz="0" w:space="0" w:color="auto"/>
        <w:left w:val="none" w:sz="0" w:space="0" w:color="auto"/>
        <w:bottom w:val="none" w:sz="0" w:space="0" w:color="auto"/>
        <w:right w:val="none" w:sz="0" w:space="0" w:color="auto"/>
      </w:divBdr>
    </w:div>
    <w:div w:id="337804860">
      <w:bodyDiv w:val="1"/>
      <w:marLeft w:val="0"/>
      <w:marRight w:val="0"/>
      <w:marTop w:val="0"/>
      <w:marBottom w:val="0"/>
      <w:divBdr>
        <w:top w:val="none" w:sz="0" w:space="0" w:color="auto"/>
        <w:left w:val="none" w:sz="0" w:space="0" w:color="auto"/>
        <w:bottom w:val="none" w:sz="0" w:space="0" w:color="auto"/>
        <w:right w:val="none" w:sz="0" w:space="0" w:color="auto"/>
      </w:divBdr>
      <w:divsChild>
        <w:div w:id="29232291">
          <w:marLeft w:val="274"/>
          <w:marRight w:val="0"/>
          <w:marTop w:val="120"/>
          <w:marBottom w:val="120"/>
          <w:divBdr>
            <w:top w:val="none" w:sz="0" w:space="0" w:color="auto"/>
            <w:left w:val="none" w:sz="0" w:space="0" w:color="auto"/>
            <w:bottom w:val="none" w:sz="0" w:space="0" w:color="auto"/>
            <w:right w:val="none" w:sz="0" w:space="0" w:color="auto"/>
          </w:divBdr>
        </w:div>
        <w:div w:id="1180194122">
          <w:marLeft w:val="274"/>
          <w:marRight w:val="0"/>
          <w:marTop w:val="120"/>
          <w:marBottom w:val="120"/>
          <w:divBdr>
            <w:top w:val="none" w:sz="0" w:space="0" w:color="auto"/>
            <w:left w:val="none" w:sz="0" w:space="0" w:color="auto"/>
            <w:bottom w:val="none" w:sz="0" w:space="0" w:color="auto"/>
            <w:right w:val="none" w:sz="0" w:space="0" w:color="auto"/>
          </w:divBdr>
        </w:div>
        <w:div w:id="928663062">
          <w:marLeft w:val="274"/>
          <w:marRight w:val="0"/>
          <w:marTop w:val="120"/>
          <w:marBottom w:val="120"/>
          <w:divBdr>
            <w:top w:val="none" w:sz="0" w:space="0" w:color="auto"/>
            <w:left w:val="none" w:sz="0" w:space="0" w:color="auto"/>
            <w:bottom w:val="none" w:sz="0" w:space="0" w:color="auto"/>
            <w:right w:val="none" w:sz="0" w:space="0" w:color="auto"/>
          </w:divBdr>
        </w:div>
        <w:div w:id="926882875">
          <w:marLeft w:val="274"/>
          <w:marRight w:val="0"/>
          <w:marTop w:val="120"/>
          <w:marBottom w:val="120"/>
          <w:divBdr>
            <w:top w:val="none" w:sz="0" w:space="0" w:color="auto"/>
            <w:left w:val="none" w:sz="0" w:space="0" w:color="auto"/>
            <w:bottom w:val="none" w:sz="0" w:space="0" w:color="auto"/>
            <w:right w:val="none" w:sz="0" w:space="0" w:color="auto"/>
          </w:divBdr>
        </w:div>
      </w:divsChild>
    </w:div>
    <w:div w:id="368842222">
      <w:bodyDiv w:val="1"/>
      <w:marLeft w:val="0"/>
      <w:marRight w:val="0"/>
      <w:marTop w:val="0"/>
      <w:marBottom w:val="0"/>
      <w:divBdr>
        <w:top w:val="none" w:sz="0" w:space="0" w:color="auto"/>
        <w:left w:val="none" w:sz="0" w:space="0" w:color="auto"/>
        <w:bottom w:val="none" w:sz="0" w:space="0" w:color="auto"/>
        <w:right w:val="none" w:sz="0" w:space="0" w:color="auto"/>
      </w:divBdr>
      <w:divsChild>
        <w:div w:id="1128814820">
          <w:marLeft w:val="274"/>
          <w:marRight w:val="0"/>
          <w:marTop w:val="120"/>
          <w:marBottom w:val="120"/>
          <w:divBdr>
            <w:top w:val="none" w:sz="0" w:space="0" w:color="auto"/>
            <w:left w:val="none" w:sz="0" w:space="0" w:color="auto"/>
            <w:bottom w:val="none" w:sz="0" w:space="0" w:color="auto"/>
            <w:right w:val="none" w:sz="0" w:space="0" w:color="auto"/>
          </w:divBdr>
        </w:div>
        <w:div w:id="2175650">
          <w:marLeft w:val="274"/>
          <w:marRight w:val="0"/>
          <w:marTop w:val="120"/>
          <w:marBottom w:val="120"/>
          <w:divBdr>
            <w:top w:val="none" w:sz="0" w:space="0" w:color="auto"/>
            <w:left w:val="none" w:sz="0" w:space="0" w:color="auto"/>
            <w:bottom w:val="none" w:sz="0" w:space="0" w:color="auto"/>
            <w:right w:val="none" w:sz="0" w:space="0" w:color="auto"/>
          </w:divBdr>
        </w:div>
        <w:div w:id="884217132">
          <w:marLeft w:val="274"/>
          <w:marRight w:val="0"/>
          <w:marTop w:val="120"/>
          <w:marBottom w:val="120"/>
          <w:divBdr>
            <w:top w:val="none" w:sz="0" w:space="0" w:color="auto"/>
            <w:left w:val="none" w:sz="0" w:space="0" w:color="auto"/>
            <w:bottom w:val="none" w:sz="0" w:space="0" w:color="auto"/>
            <w:right w:val="none" w:sz="0" w:space="0" w:color="auto"/>
          </w:divBdr>
        </w:div>
        <w:div w:id="2021278498">
          <w:marLeft w:val="274"/>
          <w:marRight w:val="0"/>
          <w:marTop w:val="120"/>
          <w:marBottom w:val="120"/>
          <w:divBdr>
            <w:top w:val="none" w:sz="0" w:space="0" w:color="auto"/>
            <w:left w:val="none" w:sz="0" w:space="0" w:color="auto"/>
            <w:bottom w:val="none" w:sz="0" w:space="0" w:color="auto"/>
            <w:right w:val="none" w:sz="0" w:space="0" w:color="auto"/>
          </w:divBdr>
        </w:div>
      </w:divsChild>
    </w:div>
    <w:div w:id="498279647">
      <w:bodyDiv w:val="1"/>
      <w:marLeft w:val="0"/>
      <w:marRight w:val="0"/>
      <w:marTop w:val="0"/>
      <w:marBottom w:val="0"/>
      <w:divBdr>
        <w:top w:val="none" w:sz="0" w:space="0" w:color="auto"/>
        <w:left w:val="none" w:sz="0" w:space="0" w:color="auto"/>
        <w:bottom w:val="none" w:sz="0" w:space="0" w:color="auto"/>
        <w:right w:val="none" w:sz="0" w:space="0" w:color="auto"/>
      </w:divBdr>
    </w:div>
    <w:div w:id="548030616">
      <w:bodyDiv w:val="1"/>
      <w:marLeft w:val="0"/>
      <w:marRight w:val="0"/>
      <w:marTop w:val="0"/>
      <w:marBottom w:val="0"/>
      <w:divBdr>
        <w:top w:val="none" w:sz="0" w:space="0" w:color="auto"/>
        <w:left w:val="none" w:sz="0" w:space="0" w:color="auto"/>
        <w:bottom w:val="none" w:sz="0" w:space="0" w:color="auto"/>
        <w:right w:val="none" w:sz="0" w:space="0" w:color="auto"/>
      </w:divBdr>
      <w:divsChild>
        <w:div w:id="2124880177">
          <w:marLeft w:val="360"/>
          <w:marRight w:val="0"/>
          <w:marTop w:val="120"/>
          <w:marBottom w:val="120"/>
          <w:divBdr>
            <w:top w:val="none" w:sz="0" w:space="0" w:color="auto"/>
            <w:left w:val="none" w:sz="0" w:space="0" w:color="auto"/>
            <w:bottom w:val="none" w:sz="0" w:space="0" w:color="auto"/>
            <w:right w:val="none" w:sz="0" w:space="0" w:color="auto"/>
          </w:divBdr>
        </w:div>
        <w:div w:id="1412699335">
          <w:marLeft w:val="360"/>
          <w:marRight w:val="0"/>
          <w:marTop w:val="120"/>
          <w:marBottom w:val="120"/>
          <w:divBdr>
            <w:top w:val="none" w:sz="0" w:space="0" w:color="auto"/>
            <w:left w:val="none" w:sz="0" w:space="0" w:color="auto"/>
            <w:bottom w:val="none" w:sz="0" w:space="0" w:color="auto"/>
            <w:right w:val="none" w:sz="0" w:space="0" w:color="auto"/>
          </w:divBdr>
        </w:div>
        <w:div w:id="1814249050">
          <w:marLeft w:val="360"/>
          <w:marRight w:val="0"/>
          <w:marTop w:val="120"/>
          <w:marBottom w:val="120"/>
          <w:divBdr>
            <w:top w:val="none" w:sz="0" w:space="0" w:color="auto"/>
            <w:left w:val="none" w:sz="0" w:space="0" w:color="auto"/>
            <w:bottom w:val="none" w:sz="0" w:space="0" w:color="auto"/>
            <w:right w:val="none" w:sz="0" w:space="0" w:color="auto"/>
          </w:divBdr>
        </w:div>
      </w:divsChild>
    </w:div>
    <w:div w:id="568736094">
      <w:bodyDiv w:val="1"/>
      <w:marLeft w:val="0"/>
      <w:marRight w:val="0"/>
      <w:marTop w:val="0"/>
      <w:marBottom w:val="0"/>
      <w:divBdr>
        <w:top w:val="none" w:sz="0" w:space="0" w:color="auto"/>
        <w:left w:val="none" w:sz="0" w:space="0" w:color="auto"/>
        <w:bottom w:val="none" w:sz="0" w:space="0" w:color="auto"/>
        <w:right w:val="none" w:sz="0" w:space="0" w:color="auto"/>
      </w:divBdr>
    </w:div>
    <w:div w:id="579408169">
      <w:bodyDiv w:val="1"/>
      <w:marLeft w:val="0"/>
      <w:marRight w:val="0"/>
      <w:marTop w:val="0"/>
      <w:marBottom w:val="0"/>
      <w:divBdr>
        <w:top w:val="none" w:sz="0" w:space="0" w:color="auto"/>
        <w:left w:val="none" w:sz="0" w:space="0" w:color="auto"/>
        <w:bottom w:val="none" w:sz="0" w:space="0" w:color="auto"/>
        <w:right w:val="none" w:sz="0" w:space="0" w:color="auto"/>
      </w:divBdr>
      <w:divsChild>
        <w:div w:id="2140150907">
          <w:marLeft w:val="274"/>
          <w:marRight w:val="0"/>
          <w:marTop w:val="120"/>
          <w:marBottom w:val="0"/>
          <w:divBdr>
            <w:top w:val="none" w:sz="0" w:space="0" w:color="auto"/>
            <w:left w:val="none" w:sz="0" w:space="0" w:color="auto"/>
            <w:bottom w:val="none" w:sz="0" w:space="0" w:color="auto"/>
            <w:right w:val="none" w:sz="0" w:space="0" w:color="auto"/>
          </w:divBdr>
        </w:div>
        <w:div w:id="145365979">
          <w:marLeft w:val="274"/>
          <w:marRight w:val="0"/>
          <w:marTop w:val="120"/>
          <w:marBottom w:val="120"/>
          <w:divBdr>
            <w:top w:val="none" w:sz="0" w:space="0" w:color="auto"/>
            <w:left w:val="none" w:sz="0" w:space="0" w:color="auto"/>
            <w:bottom w:val="none" w:sz="0" w:space="0" w:color="auto"/>
            <w:right w:val="none" w:sz="0" w:space="0" w:color="auto"/>
          </w:divBdr>
        </w:div>
      </w:divsChild>
    </w:div>
    <w:div w:id="594631395">
      <w:bodyDiv w:val="1"/>
      <w:marLeft w:val="0"/>
      <w:marRight w:val="0"/>
      <w:marTop w:val="0"/>
      <w:marBottom w:val="0"/>
      <w:divBdr>
        <w:top w:val="none" w:sz="0" w:space="0" w:color="auto"/>
        <w:left w:val="none" w:sz="0" w:space="0" w:color="auto"/>
        <w:bottom w:val="none" w:sz="0" w:space="0" w:color="auto"/>
        <w:right w:val="none" w:sz="0" w:space="0" w:color="auto"/>
      </w:divBdr>
    </w:div>
    <w:div w:id="610936391">
      <w:bodyDiv w:val="1"/>
      <w:marLeft w:val="0"/>
      <w:marRight w:val="0"/>
      <w:marTop w:val="0"/>
      <w:marBottom w:val="0"/>
      <w:divBdr>
        <w:top w:val="none" w:sz="0" w:space="0" w:color="auto"/>
        <w:left w:val="none" w:sz="0" w:space="0" w:color="auto"/>
        <w:bottom w:val="none" w:sz="0" w:space="0" w:color="auto"/>
        <w:right w:val="none" w:sz="0" w:space="0" w:color="auto"/>
      </w:divBdr>
      <w:divsChild>
        <w:div w:id="2091271068">
          <w:marLeft w:val="274"/>
          <w:marRight w:val="0"/>
          <w:marTop w:val="120"/>
          <w:marBottom w:val="120"/>
          <w:divBdr>
            <w:top w:val="none" w:sz="0" w:space="0" w:color="auto"/>
            <w:left w:val="none" w:sz="0" w:space="0" w:color="auto"/>
            <w:bottom w:val="none" w:sz="0" w:space="0" w:color="auto"/>
            <w:right w:val="none" w:sz="0" w:space="0" w:color="auto"/>
          </w:divBdr>
        </w:div>
        <w:div w:id="544489495">
          <w:marLeft w:val="274"/>
          <w:marRight w:val="0"/>
          <w:marTop w:val="120"/>
          <w:marBottom w:val="120"/>
          <w:divBdr>
            <w:top w:val="none" w:sz="0" w:space="0" w:color="auto"/>
            <w:left w:val="none" w:sz="0" w:space="0" w:color="auto"/>
            <w:bottom w:val="none" w:sz="0" w:space="0" w:color="auto"/>
            <w:right w:val="none" w:sz="0" w:space="0" w:color="auto"/>
          </w:divBdr>
        </w:div>
        <w:div w:id="592327480">
          <w:marLeft w:val="274"/>
          <w:marRight w:val="0"/>
          <w:marTop w:val="120"/>
          <w:marBottom w:val="120"/>
          <w:divBdr>
            <w:top w:val="none" w:sz="0" w:space="0" w:color="auto"/>
            <w:left w:val="none" w:sz="0" w:space="0" w:color="auto"/>
            <w:bottom w:val="none" w:sz="0" w:space="0" w:color="auto"/>
            <w:right w:val="none" w:sz="0" w:space="0" w:color="auto"/>
          </w:divBdr>
        </w:div>
        <w:div w:id="149638330">
          <w:marLeft w:val="562"/>
          <w:marRight w:val="0"/>
          <w:marTop w:val="0"/>
          <w:marBottom w:val="0"/>
          <w:divBdr>
            <w:top w:val="none" w:sz="0" w:space="0" w:color="auto"/>
            <w:left w:val="none" w:sz="0" w:space="0" w:color="auto"/>
            <w:bottom w:val="none" w:sz="0" w:space="0" w:color="auto"/>
            <w:right w:val="none" w:sz="0" w:space="0" w:color="auto"/>
          </w:divBdr>
        </w:div>
        <w:div w:id="810637711">
          <w:marLeft w:val="562"/>
          <w:marRight w:val="0"/>
          <w:marTop w:val="0"/>
          <w:marBottom w:val="0"/>
          <w:divBdr>
            <w:top w:val="none" w:sz="0" w:space="0" w:color="auto"/>
            <w:left w:val="none" w:sz="0" w:space="0" w:color="auto"/>
            <w:bottom w:val="none" w:sz="0" w:space="0" w:color="auto"/>
            <w:right w:val="none" w:sz="0" w:space="0" w:color="auto"/>
          </w:divBdr>
        </w:div>
        <w:div w:id="1932278759">
          <w:marLeft w:val="274"/>
          <w:marRight w:val="0"/>
          <w:marTop w:val="120"/>
          <w:marBottom w:val="120"/>
          <w:divBdr>
            <w:top w:val="none" w:sz="0" w:space="0" w:color="auto"/>
            <w:left w:val="none" w:sz="0" w:space="0" w:color="auto"/>
            <w:bottom w:val="none" w:sz="0" w:space="0" w:color="auto"/>
            <w:right w:val="none" w:sz="0" w:space="0" w:color="auto"/>
          </w:divBdr>
        </w:div>
      </w:divsChild>
    </w:div>
    <w:div w:id="623272389">
      <w:bodyDiv w:val="1"/>
      <w:marLeft w:val="0"/>
      <w:marRight w:val="0"/>
      <w:marTop w:val="0"/>
      <w:marBottom w:val="0"/>
      <w:divBdr>
        <w:top w:val="none" w:sz="0" w:space="0" w:color="auto"/>
        <w:left w:val="none" w:sz="0" w:space="0" w:color="auto"/>
        <w:bottom w:val="none" w:sz="0" w:space="0" w:color="auto"/>
        <w:right w:val="none" w:sz="0" w:space="0" w:color="auto"/>
      </w:divBdr>
    </w:div>
    <w:div w:id="681586431">
      <w:bodyDiv w:val="1"/>
      <w:marLeft w:val="0"/>
      <w:marRight w:val="0"/>
      <w:marTop w:val="0"/>
      <w:marBottom w:val="0"/>
      <w:divBdr>
        <w:top w:val="none" w:sz="0" w:space="0" w:color="auto"/>
        <w:left w:val="none" w:sz="0" w:space="0" w:color="auto"/>
        <w:bottom w:val="none" w:sz="0" w:space="0" w:color="auto"/>
        <w:right w:val="none" w:sz="0" w:space="0" w:color="auto"/>
      </w:divBdr>
      <w:divsChild>
        <w:div w:id="569080917">
          <w:marLeft w:val="274"/>
          <w:marRight w:val="0"/>
          <w:marTop w:val="120"/>
          <w:marBottom w:val="120"/>
          <w:divBdr>
            <w:top w:val="none" w:sz="0" w:space="0" w:color="auto"/>
            <w:left w:val="none" w:sz="0" w:space="0" w:color="auto"/>
            <w:bottom w:val="none" w:sz="0" w:space="0" w:color="auto"/>
            <w:right w:val="none" w:sz="0" w:space="0" w:color="auto"/>
          </w:divBdr>
        </w:div>
        <w:div w:id="446434848">
          <w:marLeft w:val="274"/>
          <w:marRight w:val="0"/>
          <w:marTop w:val="120"/>
          <w:marBottom w:val="120"/>
          <w:divBdr>
            <w:top w:val="none" w:sz="0" w:space="0" w:color="auto"/>
            <w:left w:val="none" w:sz="0" w:space="0" w:color="auto"/>
            <w:bottom w:val="none" w:sz="0" w:space="0" w:color="auto"/>
            <w:right w:val="none" w:sz="0" w:space="0" w:color="auto"/>
          </w:divBdr>
        </w:div>
        <w:div w:id="594170189">
          <w:marLeft w:val="274"/>
          <w:marRight w:val="0"/>
          <w:marTop w:val="120"/>
          <w:marBottom w:val="120"/>
          <w:divBdr>
            <w:top w:val="none" w:sz="0" w:space="0" w:color="auto"/>
            <w:left w:val="none" w:sz="0" w:space="0" w:color="auto"/>
            <w:bottom w:val="none" w:sz="0" w:space="0" w:color="auto"/>
            <w:right w:val="none" w:sz="0" w:space="0" w:color="auto"/>
          </w:divBdr>
        </w:div>
        <w:div w:id="1420784639">
          <w:marLeft w:val="274"/>
          <w:marRight w:val="0"/>
          <w:marTop w:val="120"/>
          <w:marBottom w:val="120"/>
          <w:divBdr>
            <w:top w:val="none" w:sz="0" w:space="0" w:color="auto"/>
            <w:left w:val="none" w:sz="0" w:space="0" w:color="auto"/>
            <w:bottom w:val="none" w:sz="0" w:space="0" w:color="auto"/>
            <w:right w:val="none" w:sz="0" w:space="0" w:color="auto"/>
          </w:divBdr>
        </w:div>
        <w:div w:id="192500369">
          <w:marLeft w:val="274"/>
          <w:marRight w:val="0"/>
          <w:marTop w:val="120"/>
          <w:marBottom w:val="120"/>
          <w:divBdr>
            <w:top w:val="none" w:sz="0" w:space="0" w:color="auto"/>
            <w:left w:val="none" w:sz="0" w:space="0" w:color="auto"/>
            <w:bottom w:val="none" w:sz="0" w:space="0" w:color="auto"/>
            <w:right w:val="none" w:sz="0" w:space="0" w:color="auto"/>
          </w:divBdr>
        </w:div>
      </w:divsChild>
    </w:div>
    <w:div w:id="705521772">
      <w:bodyDiv w:val="1"/>
      <w:marLeft w:val="0"/>
      <w:marRight w:val="0"/>
      <w:marTop w:val="0"/>
      <w:marBottom w:val="0"/>
      <w:divBdr>
        <w:top w:val="none" w:sz="0" w:space="0" w:color="auto"/>
        <w:left w:val="none" w:sz="0" w:space="0" w:color="auto"/>
        <w:bottom w:val="none" w:sz="0" w:space="0" w:color="auto"/>
        <w:right w:val="none" w:sz="0" w:space="0" w:color="auto"/>
      </w:divBdr>
      <w:divsChild>
        <w:div w:id="1396704897">
          <w:marLeft w:val="274"/>
          <w:marRight w:val="0"/>
          <w:marTop w:val="120"/>
          <w:marBottom w:val="120"/>
          <w:divBdr>
            <w:top w:val="none" w:sz="0" w:space="0" w:color="auto"/>
            <w:left w:val="none" w:sz="0" w:space="0" w:color="auto"/>
            <w:bottom w:val="none" w:sz="0" w:space="0" w:color="auto"/>
            <w:right w:val="none" w:sz="0" w:space="0" w:color="auto"/>
          </w:divBdr>
        </w:div>
        <w:div w:id="1524128889">
          <w:marLeft w:val="274"/>
          <w:marRight w:val="0"/>
          <w:marTop w:val="120"/>
          <w:marBottom w:val="120"/>
          <w:divBdr>
            <w:top w:val="none" w:sz="0" w:space="0" w:color="auto"/>
            <w:left w:val="none" w:sz="0" w:space="0" w:color="auto"/>
            <w:bottom w:val="none" w:sz="0" w:space="0" w:color="auto"/>
            <w:right w:val="none" w:sz="0" w:space="0" w:color="auto"/>
          </w:divBdr>
        </w:div>
      </w:divsChild>
    </w:div>
    <w:div w:id="722366497">
      <w:bodyDiv w:val="1"/>
      <w:marLeft w:val="0"/>
      <w:marRight w:val="0"/>
      <w:marTop w:val="0"/>
      <w:marBottom w:val="0"/>
      <w:divBdr>
        <w:top w:val="none" w:sz="0" w:space="0" w:color="auto"/>
        <w:left w:val="none" w:sz="0" w:space="0" w:color="auto"/>
        <w:bottom w:val="none" w:sz="0" w:space="0" w:color="auto"/>
        <w:right w:val="none" w:sz="0" w:space="0" w:color="auto"/>
      </w:divBdr>
    </w:div>
    <w:div w:id="775827063">
      <w:bodyDiv w:val="1"/>
      <w:marLeft w:val="0"/>
      <w:marRight w:val="0"/>
      <w:marTop w:val="0"/>
      <w:marBottom w:val="0"/>
      <w:divBdr>
        <w:top w:val="none" w:sz="0" w:space="0" w:color="auto"/>
        <w:left w:val="none" w:sz="0" w:space="0" w:color="auto"/>
        <w:bottom w:val="none" w:sz="0" w:space="0" w:color="auto"/>
        <w:right w:val="none" w:sz="0" w:space="0" w:color="auto"/>
      </w:divBdr>
      <w:divsChild>
        <w:div w:id="1283805768">
          <w:marLeft w:val="274"/>
          <w:marRight w:val="0"/>
          <w:marTop w:val="120"/>
          <w:marBottom w:val="120"/>
          <w:divBdr>
            <w:top w:val="none" w:sz="0" w:space="0" w:color="auto"/>
            <w:left w:val="none" w:sz="0" w:space="0" w:color="auto"/>
            <w:bottom w:val="none" w:sz="0" w:space="0" w:color="auto"/>
            <w:right w:val="none" w:sz="0" w:space="0" w:color="auto"/>
          </w:divBdr>
        </w:div>
        <w:div w:id="2027557934">
          <w:marLeft w:val="274"/>
          <w:marRight w:val="0"/>
          <w:marTop w:val="120"/>
          <w:marBottom w:val="120"/>
          <w:divBdr>
            <w:top w:val="none" w:sz="0" w:space="0" w:color="auto"/>
            <w:left w:val="none" w:sz="0" w:space="0" w:color="auto"/>
            <w:bottom w:val="none" w:sz="0" w:space="0" w:color="auto"/>
            <w:right w:val="none" w:sz="0" w:space="0" w:color="auto"/>
          </w:divBdr>
        </w:div>
        <w:div w:id="48043070">
          <w:marLeft w:val="274"/>
          <w:marRight w:val="0"/>
          <w:marTop w:val="120"/>
          <w:marBottom w:val="120"/>
          <w:divBdr>
            <w:top w:val="none" w:sz="0" w:space="0" w:color="auto"/>
            <w:left w:val="none" w:sz="0" w:space="0" w:color="auto"/>
            <w:bottom w:val="none" w:sz="0" w:space="0" w:color="auto"/>
            <w:right w:val="none" w:sz="0" w:space="0" w:color="auto"/>
          </w:divBdr>
        </w:div>
        <w:div w:id="142043074">
          <w:marLeft w:val="274"/>
          <w:marRight w:val="0"/>
          <w:marTop w:val="120"/>
          <w:marBottom w:val="120"/>
          <w:divBdr>
            <w:top w:val="none" w:sz="0" w:space="0" w:color="auto"/>
            <w:left w:val="none" w:sz="0" w:space="0" w:color="auto"/>
            <w:bottom w:val="none" w:sz="0" w:space="0" w:color="auto"/>
            <w:right w:val="none" w:sz="0" w:space="0" w:color="auto"/>
          </w:divBdr>
        </w:div>
      </w:divsChild>
    </w:div>
    <w:div w:id="855539525">
      <w:bodyDiv w:val="1"/>
      <w:marLeft w:val="0"/>
      <w:marRight w:val="0"/>
      <w:marTop w:val="0"/>
      <w:marBottom w:val="0"/>
      <w:divBdr>
        <w:top w:val="none" w:sz="0" w:space="0" w:color="auto"/>
        <w:left w:val="none" w:sz="0" w:space="0" w:color="auto"/>
        <w:bottom w:val="none" w:sz="0" w:space="0" w:color="auto"/>
        <w:right w:val="none" w:sz="0" w:space="0" w:color="auto"/>
      </w:divBdr>
      <w:divsChild>
        <w:div w:id="606043107">
          <w:marLeft w:val="274"/>
          <w:marRight w:val="0"/>
          <w:marTop w:val="120"/>
          <w:marBottom w:val="120"/>
          <w:divBdr>
            <w:top w:val="none" w:sz="0" w:space="0" w:color="auto"/>
            <w:left w:val="none" w:sz="0" w:space="0" w:color="auto"/>
            <w:bottom w:val="none" w:sz="0" w:space="0" w:color="auto"/>
            <w:right w:val="none" w:sz="0" w:space="0" w:color="auto"/>
          </w:divBdr>
        </w:div>
        <w:div w:id="2009744410">
          <w:marLeft w:val="274"/>
          <w:marRight w:val="0"/>
          <w:marTop w:val="120"/>
          <w:marBottom w:val="120"/>
          <w:divBdr>
            <w:top w:val="none" w:sz="0" w:space="0" w:color="auto"/>
            <w:left w:val="none" w:sz="0" w:space="0" w:color="auto"/>
            <w:bottom w:val="none" w:sz="0" w:space="0" w:color="auto"/>
            <w:right w:val="none" w:sz="0" w:space="0" w:color="auto"/>
          </w:divBdr>
        </w:div>
      </w:divsChild>
    </w:div>
    <w:div w:id="916675223">
      <w:bodyDiv w:val="1"/>
      <w:marLeft w:val="0"/>
      <w:marRight w:val="0"/>
      <w:marTop w:val="0"/>
      <w:marBottom w:val="0"/>
      <w:divBdr>
        <w:top w:val="none" w:sz="0" w:space="0" w:color="auto"/>
        <w:left w:val="none" w:sz="0" w:space="0" w:color="auto"/>
        <w:bottom w:val="none" w:sz="0" w:space="0" w:color="auto"/>
        <w:right w:val="none" w:sz="0" w:space="0" w:color="auto"/>
      </w:divBdr>
    </w:div>
    <w:div w:id="957298988">
      <w:bodyDiv w:val="1"/>
      <w:marLeft w:val="0"/>
      <w:marRight w:val="0"/>
      <w:marTop w:val="0"/>
      <w:marBottom w:val="0"/>
      <w:divBdr>
        <w:top w:val="none" w:sz="0" w:space="0" w:color="auto"/>
        <w:left w:val="none" w:sz="0" w:space="0" w:color="auto"/>
        <w:bottom w:val="none" w:sz="0" w:space="0" w:color="auto"/>
        <w:right w:val="none" w:sz="0" w:space="0" w:color="auto"/>
      </w:divBdr>
    </w:div>
    <w:div w:id="1027099819">
      <w:bodyDiv w:val="1"/>
      <w:marLeft w:val="0"/>
      <w:marRight w:val="0"/>
      <w:marTop w:val="0"/>
      <w:marBottom w:val="0"/>
      <w:divBdr>
        <w:top w:val="none" w:sz="0" w:space="0" w:color="auto"/>
        <w:left w:val="none" w:sz="0" w:space="0" w:color="auto"/>
        <w:bottom w:val="none" w:sz="0" w:space="0" w:color="auto"/>
        <w:right w:val="none" w:sz="0" w:space="0" w:color="auto"/>
      </w:divBdr>
      <w:divsChild>
        <w:div w:id="14234723">
          <w:marLeft w:val="274"/>
          <w:marRight w:val="0"/>
          <w:marTop w:val="120"/>
          <w:marBottom w:val="120"/>
          <w:divBdr>
            <w:top w:val="none" w:sz="0" w:space="0" w:color="auto"/>
            <w:left w:val="none" w:sz="0" w:space="0" w:color="auto"/>
            <w:bottom w:val="none" w:sz="0" w:space="0" w:color="auto"/>
            <w:right w:val="none" w:sz="0" w:space="0" w:color="auto"/>
          </w:divBdr>
        </w:div>
        <w:div w:id="214004425">
          <w:marLeft w:val="274"/>
          <w:marRight w:val="0"/>
          <w:marTop w:val="120"/>
          <w:marBottom w:val="120"/>
          <w:divBdr>
            <w:top w:val="none" w:sz="0" w:space="0" w:color="auto"/>
            <w:left w:val="none" w:sz="0" w:space="0" w:color="auto"/>
            <w:bottom w:val="none" w:sz="0" w:space="0" w:color="auto"/>
            <w:right w:val="none" w:sz="0" w:space="0" w:color="auto"/>
          </w:divBdr>
        </w:div>
        <w:div w:id="1951665380">
          <w:marLeft w:val="274"/>
          <w:marRight w:val="0"/>
          <w:marTop w:val="120"/>
          <w:marBottom w:val="120"/>
          <w:divBdr>
            <w:top w:val="none" w:sz="0" w:space="0" w:color="auto"/>
            <w:left w:val="none" w:sz="0" w:space="0" w:color="auto"/>
            <w:bottom w:val="none" w:sz="0" w:space="0" w:color="auto"/>
            <w:right w:val="none" w:sz="0" w:space="0" w:color="auto"/>
          </w:divBdr>
        </w:div>
        <w:div w:id="1705524043">
          <w:marLeft w:val="274"/>
          <w:marRight w:val="0"/>
          <w:marTop w:val="120"/>
          <w:marBottom w:val="120"/>
          <w:divBdr>
            <w:top w:val="none" w:sz="0" w:space="0" w:color="auto"/>
            <w:left w:val="none" w:sz="0" w:space="0" w:color="auto"/>
            <w:bottom w:val="none" w:sz="0" w:space="0" w:color="auto"/>
            <w:right w:val="none" w:sz="0" w:space="0" w:color="auto"/>
          </w:divBdr>
        </w:div>
      </w:divsChild>
    </w:div>
    <w:div w:id="1080953292">
      <w:bodyDiv w:val="1"/>
      <w:marLeft w:val="0"/>
      <w:marRight w:val="0"/>
      <w:marTop w:val="0"/>
      <w:marBottom w:val="0"/>
      <w:divBdr>
        <w:top w:val="none" w:sz="0" w:space="0" w:color="auto"/>
        <w:left w:val="none" w:sz="0" w:space="0" w:color="auto"/>
        <w:bottom w:val="none" w:sz="0" w:space="0" w:color="auto"/>
        <w:right w:val="none" w:sz="0" w:space="0" w:color="auto"/>
      </w:divBdr>
    </w:div>
    <w:div w:id="1104158016">
      <w:bodyDiv w:val="1"/>
      <w:marLeft w:val="0"/>
      <w:marRight w:val="0"/>
      <w:marTop w:val="0"/>
      <w:marBottom w:val="0"/>
      <w:divBdr>
        <w:top w:val="none" w:sz="0" w:space="0" w:color="auto"/>
        <w:left w:val="none" w:sz="0" w:space="0" w:color="auto"/>
        <w:bottom w:val="none" w:sz="0" w:space="0" w:color="auto"/>
        <w:right w:val="none" w:sz="0" w:space="0" w:color="auto"/>
      </w:divBdr>
    </w:div>
    <w:div w:id="1129474803">
      <w:bodyDiv w:val="1"/>
      <w:marLeft w:val="0"/>
      <w:marRight w:val="0"/>
      <w:marTop w:val="0"/>
      <w:marBottom w:val="0"/>
      <w:divBdr>
        <w:top w:val="none" w:sz="0" w:space="0" w:color="auto"/>
        <w:left w:val="none" w:sz="0" w:space="0" w:color="auto"/>
        <w:bottom w:val="none" w:sz="0" w:space="0" w:color="auto"/>
        <w:right w:val="none" w:sz="0" w:space="0" w:color="auto"/>
      </w:divBdr>
      <w:divsChild>
        <w:div w:id="280114842">
          <w:marLeft w:val="274"/>
          <w:marRight w:val="0"/>
          <w:marTop w:val="120"/>
          <w:marBottom w:val="120"/>
          <w:divBdr>
            <w:top w:val="none" w:sz="0" w:space="0" w:color="auto"/>
            <w:left w:val="none" w:sz="0" w:space="0" w:color="auto"/>
            <w:bottom w:val="none" w:sz="0" w:space="0" w:color="auto"/>
            <w:right w:val="none" w:sz="0" w:space="0" w:color="auto"/>
          </w:divBdr>
        </w:div>
      </w:divsChild>
    </w:div>
    <w:div w:id="1130435867">
      <w:bodyDiv w:val="1"/>
      <w:marLeft w:val="0"/>
      <w:marRight w:val="0"/>
      <w:marTop w:val="0"/>
      <w:marBottom w:val="0"/>
      <w:divBdr>
        <w:top w:val="none" w:sz="0" w:space="0" w:color="auto"/>
        <w:left w:val="none" w:sz="0" w:space="0" w:color="auto"/>
        <w:bottom w:val="none" w:sz="0" w:space="0" w:color="auto"/>
        <w:right w:val="none" w:sz="0" w:space="0" w:color="auto"/>
      </w:divBdr>
      <w:divsChild>
        <w:div w:id="560482864">
          <w:marLeft w:val="274"/>
          <w:marRight w:val="0"/>
          <w:marTop w:val="240"/>
          <w:marBottom w:val="120"/>
          <w:divBdr>
            <w:top w:val="none" w:sz="0" w:space="0" w:color="auto"/>
            <w:left w:val="none" w:sz="0" w:space="0" w:color="auto"/>
            <w:bottom w:val="none" w:sz="0" w:space="0" w:color="auto"/>
            <w:right w:val="none" w:sz="0" w:space="0" w:color="auto"/>
          </w:divBdr>
        </w:div>
      </w:divsChild>
    </w:div>
    <w:div w:id="1216546631">
      <w:bodyDiv w:val="1"/>
      <w:marLeft w:val="0"/>
      <w:marRight w:val="0"/>
      <w:marTop w:val="0"/>
      <w:marBottom w:val="0"/>
      <w:divBdr>
        <w:top w:val="none" w:sz="0" w:space="0" w:color="auto"/>
        <w:left w:val="none" w:sz="0" w:space="0" w:color="auto"/>
        <w:bottom w:val="none" w:sz="0" w:space="0" w:color="auto"/>
        <w:right w:val="none" w:sz="0" w:space="0" w:color="auto"/>
      </w:divBdr>
      <w:divsChild>
        <w:div w:id="1649287762">
          <w:marLeft w:val="274"/>
          <w:marRight w:val="0"/>
          <w:marTop w:val="40"/>
          <w:marBottom w:val="120"/>
          <w:divBdr>
            <w:top w:val="none" w:sz="0" w:space="0" w:color="auto"/>
            <w:left w:val="none" w:sz="0" w:space="0" w:color="auto"/>
            <w:bottom w:val="none" w:sz="0" w:space="0" w:color="auto"/>
            <w:right w:val="none" w:sz="0" w:space="0" w:color="auto"/>
          </w:divBdr>
        </w:div>
        <w:div w:id="1140465998">
          <w:marLeft w:val="274"/>
          <w:marRight w:val="0"/>
          <w:marTop w:val="0"/>
          <w:marBottom w:val="120"/>
          <w:divBdr>
            <w:top w:val="none" w:sz="0" w:space="0" w:color="auto"/>
            <w:left w:val="none" w:sz="0" w:space="0" w:color="auto"/>
            <w:bottom w:val="none" w:sz="0" w:space="0" w:color="auto"/>
            <w:right w:val="none" w:sz="0" w:space="0" w:color="auto"/>
          </w:divBdr>
        </w:div>
      </w:divsChild>
    </w:div>
    <w:div w:id="1259676278">
      <w:bodyDiv w:val="1"/>
      <w:marLeft w:val="0"/>
      <w:marRight w:val="0"/>
      <w:marTop w:val="0"/>
      <w:marBottom w:val="0"/>
      <w:divBdr>
        <w:top w:val="none" w:sz="0" w:space="0" w:color="auto"/>
        <w:left w:val="none" w:sz="0" w:space="0" w:color="auto"/>
        <w:bottom w:val="none" w:sz="0" w:space="0" w:color="auto"/>
        <w:right w:val="none" w:sz="0" w:space="0" w:color="auto"/>
      </w:divBdr>
      <w:divsChild>
        <w:div w:id="839269927">
          <w:marLeft w:val="274"/>
          <w:marRight w:val="0"/>
          <w:marTop w:val="120"/>
          <w:marBottom w:val="120"/>
          <w:divBdr>
            <w:top w:val="none" w:sz="0" w:space="0" w:color="auto"/>
            <w:left w:val="none" w:sz="0" w:space="0" w:color="auto"/>
            <w:bottom w:val="none" w:sz="0" w:space="0" w:color="auto"/>
            <w:right w:val="none" w:sz="0" w:space="0" w:color="auto"/>
          </w:divBdr>
        </w:div>
        <w:div w:id="1965580669">
          <w:marLeft w:val="274"/>
          <w:marRight w:val="0"/>
          <w:marTop w:val="120"/>
          <w:marBottom w:val="120"/>
          <w:divBdr>
            <w:top w:val="none" w:sz="0" w:space="0" w:color="auto"/>
            <w:left w:val="none" w:sz="0" w:space="0" w:color="auto"/>
            <w:bottom w:val="none" w:sz="0" w:space="0" w:color="auto"/>
            <w:right w:val="none" w:sz="0" w:space="0" w:color="auto"/>
          </w:divBdr>
        </w:div>
        <w:div w:id="1656492252">
          <w:marLeft w:val="274"/>
          <w:marRight w:val="0"/>
          <w:marTop w:val="120"/>
          <w:marBottom w:val="120"/>
          <w:divBdr>
            <w:top w:val="none" w:sz="0" w:space="0" w:color="auto"/>
            <w:left w:val="none" w:sz="0" w:space="0" w:color="auto"/>
            <w:bottom w:val="none" w:sz="0" w:space="0" w:color="auto"/>
            <w:right w:val="none" w:sz="0" w:space="0" w:color="auto"/>
          </w:divBdr>
        </w:div>
      </w:divsChild>
    </w:div>
    <w:div w:id="1263342806">
      <w:bodyDiv w:val="1"/>
      <w:marLeft w:val="0"/>
      <w:marRight w:val="0"/>
      <w:marTop w:val="0"/>
      <w:marBottom w:val="0"/>
      <w:divBdr>
        <w:top w:val="none" w:sz="0" w:space="0" w:color="auto"/>
        <w:left w:val="none" w:sz="0" w:space="0" w:color="auto"/>
        <w:bottom w:val="none" w:sz="0" w:space="0" w:color="auto"/>
        <w:right w:val="none" w:sz="0" w:space="0" w:color="auto"/>
      </w:divBdr>
      <w:divsChild>
        <w:div w:id="2105568424">
          <w:marLeft w:val="274"/>
          <w:marRight w:val="0"/>
          <w:marTop w:val="60"/>
          <w:marBottom w:val="60"/>
          <w:divBdr>
            <w:top w:val="none" w:sz="0" w:space="0" w:color="auto"/>
            <w:left w:val="none" w:sz="0" w:space="0" w:color="auto"/>
            <w:bottom w:val="none" w:sz="0" w:space="0" w:color="auto"/>
            <w:right w:val="none" w:sz="0" w:space="0" w:color="auto"/>
          </w:divBdr>
        </w:div>
        <w:div w:id="192378217">
          <w:marLeft w:val="274"/>
          <w:marRight w:val="0"/>
          <w:marTop w:val="60"/>
          <w:marBottom w:val="60"/>
          <w:divBdr>
            <w:top w:val="none" w:sz="0" w:space="0" w:color="auto"/>
            <w:left w:val="none" w:sz="0" w:space="0" w:color="auto"/>
            <w:bottom w:val="none" w:sz="0" w:space="0" w:color="auto"/>
            <w:right w:val="none" w:sz="0" w:space="0" w:color="auto"/>
          </w:divBdr>
        </w:div>
        <w:div w:id="125588341">
          <w:marLeft w:val="274"/>
          <w:marRight w:val="0"/>
          <w:marTop w:val="60"/>
          <w:marBottom w:val="60"/>
          <w:divBdr>
            <w:top w:val="none" w:sz="0" w:space="0" w:color="auto"/>
            <w:left w:val="none" w:sz="0" w:space="0" w:color="auto"/>
            <w:bottom w:val="none" w:sz="0" w:space="0" w:color="auto"/>
            <w:right w:val="none" w:sz="0" w:space="0" w:color="auto"/>
          </w:divBdr>
        </w:div>
      </w:divsChild>
    </w:div>
    <w:div w:id="1271202240">
      <w:bodyDiv w:val="1"/>
      <w:marLeft w:val="0"/>
      <w:marRight w:val="0"/>
      <w:marTop w:val="0"/>
      <w:marBottom w:val="0"/>
      <w:divBdr>
        <w:top w:val="none" w:sz="0" w:space="0" w:color="auto"/>
        <w:left w:val="none" w:sz="0" w:space="0" w:color="auto"/>
        <w:bottom w:val="none" w:sz="0" w:space="0" w:color="auto"/>
        <w:right w:val="none" w:sz="0" w:space="0" w:color="auto"/>
      </w:divBdr>
      <w:divsChild>
        <w:div w:id="678971202">
          <w:marLeft w:val="274"/>
          <w:marRight w:val="0"/>
          <w:marTop w:val="120"/>
          <w:marBottom w:val="120"/>
          <w:divBdr>
            <w:top w:val="none" w:sz="0" w:space="0" w:color="auto"/>
            <w:left w:val="none" w:sz="0" w:space="0" w:color="auto"/>
            <w:bottom w:val="none" w:sz="0" w:space="0" w:color="auto"/>
            <w:right w:val="none" w:sz="0" w:space="0" w:color="auto"/>
          </w:divBdr>
        </w:div>
        <w:div w:id="910310906">
          <w:marLeft w:val="274"/>
          <w:marRight w:val="0"/>
          <w:marTop w:val="120"/>
          <w:marBottom w:val="120"/>
          <w:divBdr>
            <w:top w:val="none" w:sz="0" w:space="0" w:color="auto"/>
            <w:left w:val="none" w:sz="0" w:space="0" w:color="auto"/>
            <w:bottom w:val="none" w:sz="0" w:space="0" w:color="auto"/>
            <w:right w:val="none" w:sz="0" w:space="0" w:color="auto"/>
          </w:divBdr>
        </w:div>
        <w:div w:id="780538450">
          <w:marLeft w:val="274"/>
          <w:marRight w:val="0"/>
          <w:marTop w:val="120"/>
          <w:marBottom w:val="120"/>
          <w:divBdr>
            <w:top w:val="none" w:sz="0" w:space="0" w:color="auto"/>
            <w:left w:val="none" w:sz="0" w:space="0" w:color="auto"/>
            <w:bottom w:val="none" w:sz="0" w:space="0" w:color="auto"/>
            <w:right w:val="none" w:sz="0" w:space="0" w:color="auto"/>
          </w:divBdr>
        </w:div>
        <w:div w:id="1593778664">
          <w:marLeft w:val="274"/>
          <w:marRight w:val="0"/>
          <w:marTop w:val="120"/>
          <w:marBottom w:val="120"/>
          <w:divBdr>
            <w:top w:val="none" w:sz="0" w:space="0" w:color="auto"/>
            <w:left w:val="none" w:sz="0" w:space="0" w:color="auto"/>
            <w:bottom w:val="none" w:sz="0" w:space="0" w:color="auto"/>
            <w:right w:val="none" w:sz="0" w:space="0" w:color="auto"/>
          </w:divBdr>
        </w:div>
        <w:div w:id="795415364">
          <w:marLeft w:val="274"/>
          <w:marRight w:val="0"/>
          <w:marTop w:val="120"/>
          <w:marBottom w:val="120"/>
          <w:divBdr>
            <w:top w:val="none" w:sz="0" w:space="0" w:color="auto"/>
            <w:left w:val="none" w:sz="0" w:space="0" w:color="auto"/>
            <w:bottom w:val="none" w:sz="0" w:space="0" w:color="auto"/>
            <w:right w:val="none" w:sz="0" w:space="0" w:color="auto"/>
          </w:divBdr>
        </w:div>
        <w:div w:id="605695084">
          <w:marLeft w:val="274"/>
          <w:marRight w:val="0"/>
          <w:marTop w:val="120"/>
          <w:marBottom w:val="120"/>
          <w:divBdr>
            <w:top w:val="none" w:sz="0" w:space="0" w:color="auto"/>
            <w:left w:val="none" w:sz="0" w:space="0" w:color="auto"/>
            <w:bottom w:val="none" w:sz="0" w:space="0" w:color="auto"/>
            <w:right w:val="none" w:sz="0" w:space="0" w:color="auto"/>
          </w:divBdr>
        </w:div>
        <w:div w:id="1354844802">
          <w:marLeft w:val="274"/>
          <w:marRight w:val="0"/>
          <w:marTop w:val="120"/>
          <w:marBottom w:val="120"/>
          <w:divBdr>
            <w:top w:val="none" w:sz="0" w:space="0" w:color="auto"/>
            <w:left w:val="none" w:sz="0" w:space="0" w:color="auto"/>
            <w:bottom w:val="none" w:sz="0" w:space="0" w:color="auto"/>
            <w:right w:val="none" w:sz="0" w:space="0" w:color="auto"/>
          </w:divBdr>
        </w:div>
        <w:div w:id="602423796">
          <w:marLeft w:val="274"/>
          <w:marRight w:val="0"/>
          <w:marTop w:val="120"/>
          <w:marBottom w:val="120"/>
          <w:divBdr>
            <w:top w:val="none" w:sz="0" w:space="0" w:color="auto"/>
            <w:left w:val="none" w:sz="0" w:space="0" w:color="auto"/>
            <w:bottom w:val="none" w:sz="0" w:space="0" w:color="auto"/>
            <w:right w:val="none" w:sz="0" w:space="0" w:color="auto"/>
          </w:divBdr>
        </w:div>
        <w:div w:id="992878423">
          <w:marLeft w:val="274"/>
          <w:marRight w:val="0"/>
          <w:marTop w:val="120"/>
          <w:marBottom w:val="120"/>
          <w:divBdr>
            <w:top w:val="none" w:sz="0" w:space="0" w:color="auto"/>
            <w:left w:val="none" w:sz="0" w:space="0" w:color="auto"/>
            <w:bottom w:val="none" w:sz="0" w:space="0" w:color="auto"/>
            <w:right w:val="none" w:sz="0" w:space="0" w:color="auto"/>
          </w:divBdr>
        </w:div>
      </w:divsChild>
    </w:div>
    <w:div w:id="1330793557">
      <w:bodyDiv w:val="1"/>
      <w:marLeft w:val="0"/>
      <w:marRight w:val="0"/>
      <w:marTop w:val="0"/>
      <w:marBottom w:val="0"/>
      <w:divBdr>
        <w:top w:val="none" w:sz="0" w:space="0" w:color="auto"/>
        <w:left w:val="none" w:sz="0" w:space="0" w:color="auto"/>
        <w:bottom w:val="none" w:sz="0" w:space="0" w:color="auto"/>
        <w:right w:val="none" w:sz="0" w:space="0" w:color="auto"/>
      </w:divBdr>
    </w:div>
    <w:div w:id="1333950043">
      <w:bodyDiv w:val="1"/>
      <w:marLeft w:val="0"/>
      <w:marRight w:val="0"/>
      <w:marTop w:val="0"/>
      <w:marBottom w:val="0"/>
      <w:divBdr>
        <w:top w:val="none" w:sz="0" w:space="0" w:color="auto"/>
        <w:left w:val="none" w:sz="0" w:space="0" w:color="auto"/>
        <w:bottom w:val="none" w:sz="0" w:space="0" w:color="auto"/>
        <w:right w:val="none" w:sz="0" w:space="0" w:color="auto"/>
      </w:divBdr>
      <w:divsChild>
        <w:div w:id="640115255">
          <w:marLeft w:val="274"/>
          <w:marRight w:val="0"/>
          <w:marTop w:val="120"/>
          <w:marBottom w:val="120"/>
          <w:divBdr>
            <w:top w:val="none" w:sz="0" w:space="0" w:color="auto"/>
            <w:left w:val="none" w:sz="0" w:space="0" w:color="auto"/>
            <w:bottom w:val="none" w:sz="0" w:space="0" w:color="auto"/>
            <w:right w:val="none" w:sz="0" w:space="0" w:color="auto"/>
          </w:divBdr>
        </w:div>
        <w:div w:id="1401750266">
          <w:marLeft w:val="274"/>
          <w:marRight w:val="0"/>
          <w:marTop w:val="120"/>
          <w:marBottom w:val="120"/>
          <w:divBdr>
            <w:top w:val="none" w:sz="0" w:space="0" w:color="auto"/>
            <w:left w:val="none" w:sz="0" w:space="0" w:color="auto"/>
            <w:bottom w:val="none" w:sz="0" w:space="0" w:color="auto"/>
            <w:right w:val="none" w:sz="0" w:space="0" w:color="auto"/>
          </w:divBdr>
        </w:div>
        <w:div w:id="1210189539">
          <w:marLeft w:val="274"/>
          <w:marRight w:val="0"/>
          <w:marTop w:val="120"/>
          <w:marBottom w:val="120"/>
          <w:divBdr>
            <w:top w:val="none" w:sz="0" w:space="0" w:color="auto"/>
            <w:left w:val="none" w:sz="0" w:space="0" w:color="auto"/>
            <w:bottom w:val="none" w:sz="0" w:space="0" w:color="auto"/>
            <w:right w:val="none" w:sz="0" w:space="0" w:color="auto"/>
          </w:divBdr>
        </w:div>
        <w:div w:id="117458895">
          <w:marLeft w:val="274"/>
          <w:marRight w:val="0"/>
          <w:marTop w:val="120"/>
          <w:marBottom w:val="120"/>
          <w:divBdr>
            <w:top w:val="none" w:sz="0" w:space="0" w:color="auto"/>
            <w:left w:val="none" w:sz="0" w:space="0" w:color="auto"/>
            <w:bottom w:val="none" w:sz="0" w:space="0" w:color="auto"/>
            <w:right w:val="none" w:sz="0" w:space="0" w:color="auto"/>
          </w:divBdr>
        </w:div>
        <w:div w:id="920875388">
          <w:marLeft w:val="274"/>
          <w:marRight w:val="0"/>
          <w:marTop w:val="120"/>
          <w:marBottom w:val="120"/>
          <w:divBdr>
            <w:top w:val="none" w:sz="0" w:space="0" w:color="auto"/>
            <w:left w:val="none" w:sz="0" w:space="0" w:color="auto"/>
            <w:bottom w:val="none" w:sz="0" w:space="0" w:color="auto"/>
            <w:right w:val="none" w:sz="0" w:space="0" w:color="auto"/>
          </w:divBdr>
        </w:div>
        <w:div w:id="119491976">
          <w:marLeft w:val="274"/>
          <w:marRight w:val="0"/>
          <w:marTop w:val="120"/>
          <w:marBottom w:val="120"/>
          <w:divBdr>
            <w:top w:val="none" w:sz="0" w:space="0" w:color="auto"/>
            <w:left w:val="none" w:sz="0" w:space="0" w:color="auto"/>
            <w:bottom w:val="none" w:sz="0" w:space="0" w:color="auto"/>
            <w:right w:val="none" w:sz="0" w:space="0" w:color="auto"/>
          </w:divBdr>
        </w:div>
        <w:div w:id="1236938057">
          <w:marLeft w:val="274"/>
          <w:marRight w:val="0"/>
          <w:marTop w:val="120"/>
          <w:marBottom w:val="120"/>
          <w:divBdr>
            <w:top w:val="none" w:sz="0" w:space="0" w:color="auto"/>
            <w:left w:val="none" w:sz="0" w:space="0" w:color="auto"/>
            <w:bottom w:val="none" w:sz="0" w:space="0" w:color="auto"/>
            <w:right w:val="none" w:sz="0" w:space="0" w:color="auto"/>
          </w:divBdr>
        </w:div>
      </w:divsChild>
    </w:div>
    <w:div w:id="1475482894">
      <w:bodyDiv w:val="1"/>
      <w:marLeft w:val="0"/>
      <w:marRight w:val="0"/>
      <w:marTop w:val="0"/>
      <w:marBottom w:val="0"/>
      <w:divBdr>
        <w:top w:val="none" w:sz="0" w:space="0" w:color="auto"/>
        <w:left w:val="none" w:sz="0" w:space="0" w:color="auto"/>
        <w:bottom w:val="none" w:sz="0" w:space="0" w:color="auto"/>
        <w:right w:val="none" w:sz="0" w:space="0" w:color="auto"/>
      </w:divBdr>
    </w:div>
    <w:div w:id="1483932556">
      <w:bodyDiv w:val="1"/>
      <w:marLeft w:val="0"/>
      <w:marRight w:val="0"/>
      <w:marTop w:val="0"/>
      <w:marBottom w:val="0"/>
      <w:divBdr>
        <w:top w:val="none" w:sz="0" w:space="0" w:color="auto"/>
        <w:left w:val="none" w:sz="0" w:space="0" w:color="auto"/>
        <w:bottom w:val="none" w:sz="0" w:space="0" w:color="auto"/>
        <w:right w:val="none" w:sz="0" w:space="0" w:color="auto"/>
      </w:divBdr>
    </w:div>
    <w:div w:id="1487697198">
      <w:bodyDiv w:val="1"/>
      <w:marLeft w:val="0"/>
      <w:marRight w:val="0"/>
      <w:marTop w:val="0"/>
      <w:marBottom w:val="0"/>
      <w:divBdr>
        <w:top w:val="none" w:sz="0" w:space="0" w:color="auto"/>
        <w:left w:val="none" w:sz="0" w:space="0" w:color="auto"/>
        <w:bottom w:val="none" w:sz="0" w:space="0" w:color="auto"/>
        <w:right w:val="none" w:sz="0" w:space="0" w:color="auto"/>
      </w:divBdr>
      <w:divsChild>
        <w:div w:id="342822522">
          <w:marLeft w:val="274"/>
          <w:marRight w:val="0"/>
          <w:marTop w:val="120"/>
          <w:marBottom w:val="120"/>
          <w:divBdr>
            <w:top w:val="none" w:sz="0" w:space="0" w:color="auto"/>
            <w:left w:val="none" w:sz="0" w:space="0" w:color="auto"/>
            <w:bottom w:val="none" w:sz="0" w:space="0" w:color="auto"/>
            <w:right w:val="none" w:sz="0" w:space="0" w:color="auto"/>
          </w:divBdr>
        </w:div>
      </w:divsChild>
    </w:div>
    <w:div w:id="1533805168">
      <w:bodyDiv w:val="1"/>
      <w:marLeft w:val="0"/>
      <w:marRight w:val="0"/>
      <w:marTop w:val="0"/>
      <w:marBottom w:val="0"/>
      <w:divBdr>
        <w:top w:val="none" w:sz="0" w:space="0" w:color="auto"/>
        <w:left w:val="none" w:sz="0" w:space="0" w:color="auto"/>
        <w:bottom w:val="none" w:sz="0" w:space="0" w:color="auto"/>
        <w:right w:val="none" w:sz="0" w:space="0" w:color="auto"/>
      </w:divBdr>
    </w:div>
    <w:div w:id="1639873924">
      <w:bodyDiv w:val="1"/>
      <w:marLeft w:val="0"/>
      <w:marRight w:val="0"/>
      <w:marTop w:val="0"/>
      <w:marBottom w:val="0"/>
      <w:divBdr>
        <w:top w:val="none" w:sz="0" w:space="0" w:color="auto"/>
        <w:left w:val="none" w:sz="0" w:space="0" w:color="auto"/>
        <w:bottom w:val="none" w:sz="0" w:space="0" w:color="auto"/>
        <w:right w:val="none" w:sz="0" w:space="0" w:color="auto"/>
      </w:divBdr>
    </w:div>
    <w:div w:id="1653292478">
      <w:bodyDiv w:val="1"/>
      <w:marLeft w:val="0"/>
      <w:marRight w:val="0"/>
      <w:marTop w:val="0"/>
      <w:marBottom w:val="0"/>
      <w:divBdr>
        <w:top w:val="none" w:sz="0" w:space="0" w:color="auto"/>
        <w:left w:val="none" w:sz="0" w:space="0" w:color="auto"/>
        <w:bottom w:val="none" w:sz="0" w:space="0" w:color="auto"/>
        <w:right w:val="none" w:sz="0" w:space="0" w:color="auto"/>
      </w:divBdr>
    </w:div>
    <w:div w:id="1662004984">
      <w:bodyDiv w:val="1"/>
      <w:marLeft w:val="0"/>
      <w:marRight w:val="0"/>
      <w:marTop w:val="0"/>
      <w:marBottom w:val="0"/>
      <w:divBdr>
        <w:top w:val="none" w:sz="0" w:space="0" w:color="auto"/>
        <w:left w:val="none" w:sz="0" w:space="0" w:color="auto"/>
        <w:bottom w:val="none" w:sz="0" w:space="0" w:color="auto"/>
        <w:right w:val="none" w:sz="0" w:space="0" w:color="auto"/>
      </w:divBdr>
      <w:divsChild>
        <w:div w:id="1020012086">
          <w:marLeft w:val="274"/>
          <w:marRight w:val="0"/>
          <w:marTop w:val="120"/>
          <w:marBottom w:val="120"/>
          <w:divBdr>
            <w:top w:val="none" w:sz="0" w:space="0" w:color="auto"/>
            <w:left w:val="none" w:sz="0" w:space="0" w:color="auto"/>
            <w:bottom w:val="none" w:sz="0" w:space="0" w:color="auto"/>
            <w:right w:val="none" w:sz="0" w:space="0" w:color="auto"/>
          </w:divBdr>
        </w:div>
        <w:div w:id="1945990615">
          <w:marLeft w:val="274"/>
          <w:marRight w:val="0"/>
          <w:marTop w:val="120"/>
          <w:marBottom w:val="120"/>
          <w:divBdr>
            <w:top w:val="none" w:sz="0" w:space="0" w:color="auto"/>
            <w:left w:val="none" w:sz="0" w:space="0" w:color="auto"/>
            <w:bottom w:val="none" w:sz="0" w:space="0" w:color="auto"/>
            <w:right w:val="none" w:sz="0" w:space="0" w:color="auto"/>
          </w:divBdr>
        </w:div>
        <w:div w:id="740710125">
          <w:marLeft w:val="274"/>
          <w:marRight w:val="0"/>
          <w:marTop w:val="120"/>
          <w:marBottom w:val="120"/>
          <w:divBdr>
            <w:top w:val="none" w:sz="0" w:space="0" w:color="auto"/>
            <w:left w:val="none" w:sz="0" w:space="0" w:color="auto"/>
            <w:bottom w:val="none" w:sz="0" w:space="0" w:color="auto"/>
            <w:right w:val="none" w:sz="0" w:space="0" w:color="auto"/>
          </w:divBdr>
        </w:div>
      </w:divsChild>
    </w:div>
    <w:div w:id="1696349801">
      <w:bodyDiv w:val="1"/>
      <w:marLeft w:val="0"/>
      <w:marRight w:val="0"/>
      <w:marTop w:val="0"/>
      <w:marBottom w:val="0"/>
      <w:divBdr>
        <w:top w:val="none" w:sz="0" w:space="0" w:color="auto"/>
        <w:left w:val="none" w:sz="0" w:space="0" w:color="auto"/>
        <w:bottom w:val="none" w:sz="0" w:space="0" w:color="auto"/>
        <w:right w:val="none" w:sz="0" w:space="0" w:color="auto"/>
      </w:divBdr>
      <w:divsChild>
        <w:div w:id="1433671590">
          <w:marLeft w:val="274"/>
          <w:marRight w:val="0"/>
          <w:marTop w:val="240"/>
          <w:marBottom w:val="120"/>
          <w:divBdr>
            <w:top w:val="none" w:sz="0" w:space="0" w:color="auto"/>
            <w:left w:val="none" w:sz="0" w:space="0" w:color="auto"/>
            <w:bottom w:val="none" w:sz="0" w:space="0" w:color="auto"/>
            <w:right w:val="none" w:sz="0" w:space="0" w:color="auto"/>
          </w:divBdr>
        </w:div>
        <w:div w:id="162940002">
          <w:marLeft w:val="562"/>
          <w:marRight w:val="0"/>
          <w:marTop w:val="0"/>
          <w:marBottom w:val="0"/>
          <w:divBdr>
            <w:top w:val="none" w:sz="0" w:space="0" w:color="auto"/>
            <w:left w:val="none" w:sz="0" w:space="0" w:color="auto"/>
            <w:bottom w:val="none" w:sz="0" w:space="0" w:color="auto"/>
            <w:right w:val="none" w:sz="0" w:space="0" w:color="auto"/>
          </w:divBdr>
        </w:div>
        <w:div w:id="1709793034">
          <w:marLeft w:val="562"/>
          <w:marRight w:val="0"/>
          <w:marTop w:val="0"/>
          <w:marBottom w:val="0"/>
          <w:divBdr>
            <w:top w:val="none" w:sz="0" w:space="0" w:color="auto"/>
            <w:left w:val="none" w:sz="0" w:space="0" w:color="auto"/>
            <w:bottom w:val="none" w:sz="0" w:space="0" w:color="auto"/>
            <w:right w:val="none" w:sz="0" w:space="0" w:color="auto"/>
          </w:divBdr>
        </w:div>
        <w:div w:id="1301033835">
          <w:marLeft w:val="562"/>
          <w:marRight w:val="0"/>
          <w:marTop w:val="0"/>
          <w:marBottom w:val="0"/>
          <w:divBdr>
            <w:top w:val="none" w:sz="0" w:space="0" w:color="auto"/>
            <w:left w:val="none" w:sz="0" w:space="0" w:color="auto"/>
            <w:bottom w:val="none" w:sz="0" w:space="0" w:color="auto"/>
            <w:right w:val="none" w:sz="0" w:space="0" w:color="auto"/>
          </w:divBdr>
        </w:div>
        <w:div w:id="750349232">
          <w:marLeft w:val="274"/>
          <w:marRight w:val="0"/>
          <w:marTop w:val="240"/>
          <w:marBottom w:val="120"/>
          <w:divBdr>
            <w:top w:val="none" w:sz="0" w:space="0" w:color="auto"/>
            <w:left w:val="none" w:sz="0" w:space="0" w:color="auto"/>
            <w:bottom w:val="none" w:sz="0" w:space="0" w:color="auto"/>
            <w:right w:val="none" w:sz="0" w:space="0" w:color="auto"/>
          </w:divBdr>
        </w:div>
      </w:divsChild>
    </w:div>
    <w:div w:id="1759060856">
      <w:bodyDiv w:val="1"/>
      <w:marLeft w:val="0"/>
      <w:marRight w:val="0"/>
      <w:marTop w:val="0"/>
      <w:marBottom w:val="0"/>
      <w:divBdr>
        <w:top w:val="none" w:sz="0" w:space="0" w:color="auto"/>
        <w:left w:val="none" w:sz="0" w:space="0" w:color="auto"/>
        <w:bottom w:val="none" w:sz="0" w:space="0" w:color="auto"/>
        <w:right w:val="none" w:sz="0" w:space="0" w:color="auto"/>
      </w:divBdr>
    </w:div>
    <w:div w:id="1792478934">
      <w:bodyDiv w:val="1"/>
      <w:marLeft w:val="0"/>
      <w:marRight w:val="0"/>
      <w:marTop w:val="0"/>
      <w:marBottom w:val="0"/>
      <w:divBdr>
        <w:top w:val="none" w:sz="0" w:space="0" w:color="auto"/>
        <w:left w:val="none" w:sz="0" w:space="0" w:color="auto"/>
        <w:bottom w:val="none" w:sz="0" w:space="0" w:color="auto"/>
        <w:right w:val="none" w:sz="0" w:space="0" w:color="auto"/>
      </w:divBdr>
      <w:divsChild>
        <w:div w:id="734863528">
          <w:marLeft w:val="274"/>
          <w:marRight w:val="0"/>
          <w:marTop w:val="120"/>
          <w:marBottom w:val="0"/>
          <w:divBdr>
            <w:top w:val="none" w:sz="0" w:space="0" w:color="auto"/>
            <w:left w:val="none" w:sz="0" w:space="0" w:color="auto"/>
            <w:bottom w:val="none" w:sz="0" w:space="0" w:color="auto"/>
            <w:right w:val="none" w:sz="0" w:space="0" w:color="auto"/>
          </w:divBdr>
        </w:div>
        <w:div w:id="288171984">
          <w:marLeft w:val="274"/>
          <w:marRight w:val="0"/>
          <w:marTop w:val="120"/>
          <w:marBottom w:val="120"/>
          <w:divBdr>
            <w:top w:val="none" w:sz="0" w:space="0" w:color="auto"/>
            <w:left w:val="none" w:sz="0" w:space="0" w:color="auto"/>
            <w:bottom w:val="none" w:sz="0" w:space="0" w:color="auto"/>
            <w:right w:val="none" w:sz="0" w:space="0" w:color="auto"/>
          </w:divBdr>
        </w:div>
      </w:divsChild>
    </w:div>
    <w:div w:id="1802185140">
      <w:bodyDiv w:val="1"/>
      <w:marLeft w:val="0"/>
      <w:marRight w:val="0"/>
      <w:marTop w:val="0"/>
      <w:marBottom w:val="0"/>
      <w:divBdr>
        <w:top w:val="none" w:sz="0" w:space="0" w:color="auto"/>
        <w:left w:val="none" w:sz="0" w:space="0" w:color="auto"/>
        <w:bottom w:val="none" w:sz="0" w:space="0" w:color="auto"/>
        <w:right w:val="none" w:sz="0" w:space="0" w:color="auto"/>
      </w:divBdr>
      <w:divsChild>
        <w:div w:id="717781969">
          <w:marLeft w:val="274"/>
          <w:marRight w:val="0"/>
          <w:marTop w:val="40"/>
          <w:marBottom w:val="80"/>
          <w:divBdr>
            <w:top w:val="none" w:sz="0" w:space="0" w:color="auto"/>
            <w:left w:val="none" w:sz="0" w:space="0" w:color="auto"/>
            <w:bottom w:val="none" w:sz="0" w:space="0" w:color="auto"/>
            <w:right w:val="none" w:sz="0" w:space="0" w:color="auto"/>
          </w:divBdr>
        </w:div>
        <w:div w:id="464782963">
          <w:marLeft w:val="274"/>
          <w:marRight w:val="0"/>
          <w:marTop w:val="40"/>
          <w:marBottom w:val="80"/>
          <w:divBdr>
            <w:top w:val="none" w:sz="0" w:space="0" w:color="auto"/>
            <w:left w:val="none" w:sz="0" w:space="0" w:color="auto"/>
            <w:bottom w:val="none" w:sz="0" w:space="0" w:color="auto"/>
            <w:right w:val="none" w:sz="0" w:space="0" w:color="auto"/>
          </w:divBdr>
        </w:div>
      </w:divsChild>
    </w:div>
    <w:div w:id="1872574597">
      <w:bodyDiv w:val="1"/>
      <w:marLeft w:val="0"/>
      <w:marRight w:val="0"/>
      <w:marTop w:val="0"/>
      <w:marBottom w:val="0"/>
      <w:divBdr>
        <w:top w:val="none" w:sz="0" w:space="0" w:color="auto"/>
        <w:left w:val="none" w:sz="0" w:space="0" w:color="auto"/>
        <w:bottom w:val="none" w:sz="0" w:space="0" w:color="auto"/>
        <w:right w:val="none" w:sz="0" w:space="0" w:color="auto"/>
      </w:divBdr>
    </w:div>
    <w:div w:id="1890648731">
      <w:bodyDiv w:val="1"/>
      <w:marLeft w:val="0"/>
      <w:marRight w:val="0"/>
      <w:marTop w:val="0"/>
      <w:marBottom w:val="0"/>
      <w:divBdr>
        <w:top w:val="none" w:sz="0" w:space="0" w:color="auto"/>
        <w:left w:val="none" w:sz="0" w:space="0" w:color="auto"/>
        <w:bottom w:val="none" w:sz="0" w:space="0" w:color="auto"/>
        <w:right w:val="none" w:sz="0" w:space="0" w:color="auto"/>
      </w:divBdr>
    </w:div>
    <w:div w:id="2040080693">
      <w:bodyDiv w:val="1"/>
      <w:marLeft w:val="0"/>
      <w:marRight w:val="0"/>
      <w:marTop w:val="0"/>
      <w:marBottom w:val="0"/>
      <w:divBdr>
        <w:top w:val="none" w:sz="0" w:space="0" w:color="auto"/>
        <w:left w:val="none" w:sz="0" w:space="0" w:color="auto"/>
        <w:bottom w:val="none" w:sz="0" w:space="0" w:color="auto"/>
        <w:right w:val="none" w:sz="0" w:space="0" w:color="auto"/>
      </w:divBdr>
    </w:div>
    <w:div w:id="21325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ps.abs.gov.au/index.html" TargetMode="External"/><Relationship Id="rId18" Type="http://schemas.openxmlformats.org/officeDocument/2006/relationships/hyperlink" Target="https://www.unwto.org/tourism-statistics/un-standards-for-measuring-tourism" TargetMode="External"/><Relationship Id="rId3" Type="http://schemas.openxmlformats.org/officeDocument/2006/relationships/customXml" Target="../customXml/item3.xml"/><Relationship Id="rId21" Type="http://schemas.openxmlformats.org/officeDocument/2006/relationships/hyperlink" Target="mailto:research@ecodev.vic.gov.au" TargetMode="External"/><Relationship Id="rId7" Type="http://schemas.openxmlformats.org/officeDocument/2006/relationships/webSettings" Target="webSettings.xml"/><Relationship Id="rId12" Type="http://schemas.openxmlformats.org/officeDocument/2006/relationships/hyperlink" Target="https://www.tra.gov.au/en/regional/tourism-regions" TargetMode="External"/><Relationship Id="rId17" Type="http://schemas.openxmlformats.org/officeDocument/2006/relationships/hyperlink" Target="https://www.abs.gov.au/statistics/industry/tourism-and-transport/overseas-arrivals-and-departures-australia/latest-release" TargetMode="External"/><Relationship Id="rId2" Type="http://schemas.openxmlformats.org/officeDocument/2006/relationships/customXml" Target="../customXml/item2.xml"/><Relationship Id="rId16" Type="http://schemas.openxmlformats.org/officeDocument/2006/relationships/hyperlink" Target="https://www.tra.gov.au/international/ivs-methodology" TargetMode="External"/><Relationship Id="rId20" Type="http://schemas.openxmlformats.org/officeDocument/2006/relationships/hyperlink" Target="https://www.tra.gov.au/en/economic-analysis/tourism-satellite-accounts/regional-tourism-satellite-accou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tra.gov.au/en/domestic/national-visitor-survey-methodology"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abs.gov.au/statistics/economy/national-accounts/australian-national-accounts-tourism-satellite-account/latest-rele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gov.au/en/domestic/national-visitor-survey-methodolog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2745D0D62BB4CBE615C53BB2573B6" ma:contentTypeVersion="16" ma:contentTypeDescription="Create a new document." ma:contentTypeScope="" ma:versionID="e47a8c0cdd10462e9bc0f9f0b209cf80">
  <xsd:schema xmlns:xsd="http://www.w3.org/2001/XMLSchema" xmlns:xs="http://www.w3.org/2001/XMLSchema" xmlns:p="http://schemas.microsoft.com/office/2006/metadata/properties" xmlns:ns3="e3bdabea-82a2-4143-bd65-9e3f2a9c3d95" xmlns:ns4="3f0e5c84-addc-4729-bf71-f12ce748017c" targetNamespace="http://schemas.microsoft.com/office/2006/metadata/properties" ma:root="true" ma:fieldsID="9239df58d36ab512cc6acc47a3161970" ns3:_="" ns4:_="">
    <xsd:import namespace="e3bdabea-82a2-4143-bd65-9e3f2a9c3d95"/>
    <xsd:import namespace="3f0e5c84-addc-4729-bf71-f12ce74801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dabea-82a2-4143-bd65-9e3f2a9c3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e5c84-addc-4729-bf71-f12ce74801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3bdabea-82a2-4143-bd65-9e3f2a9c3d95" xsi:nil="true"/>
  </documentManagement>
</p:properties>
</file>

<file path=customXml/itemProps1.xml><?xml version="1.0" encoding="utf-8"?>
<ds:datastoreItem xmlns:ds="http://schemas.openxmlformats.org/officeDocument/2006/customXml" ds:itemID="{6B9E5471-3ED8-44B8-BF3B-369BE28B8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dabea-82a2-4143-bd65-9e3f2a9c3d95"/>
    <ds:schemaRef ds:uri="3f0e5c84-addc-4729-bf71-f12ce7480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F5C55-61CD-4C00-BF58-05486E856338}">
  <ds:schemaRefs>
    <ds:schemaRef ds:uri="http://schemas.microsoft.com/sharepoint/v3/contenttype/forms"/>
  </ds:schemaRefs>
</ds:datastoreItem>
</file>

<file path=customXml/itemProps3.xml><?xml version="1.0" encoding="utf-8"?>
<ds:datastoreItem xmlns:ds="http://schemas.openxmlformats.org/officeDocument/2006/customXml" ds:itemID="{2331D88B-06D2-465D-A528-4271AFF62D7C}">
  <ds:schemaRefs>
    <ds:schemaRef ds:uri="http://schemas.microsoft.com/office/2006/metadata/properties"/>
    <ds:schemaRef ds:uri="http://schemas.microsoft.com/office/infopath/2007/PartnerControls"/>
    <ds:schemaRef ds:uri="e3bdabea-82a2-4143-bd65-9e3f2a9c3d9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5463</Words>
  <Characters>30321</Characters>
  <Application>Microsoft Office Word</Application>
  <DocSecurity>0</DocSecurity>
  <Lines>721</Lines>
  <Paragraphs>397</Paragraphs>
  <ScaleCrop>false</ScaleCrop>
  <HeadingPairs>
    <vt:vector size="2" baseType="variant">
      <vt:variant>
        <vt:lpstr>Title</vt:lpstr>
      </vt:variant>
      <vt:variant>
        <vt:i4>1</vt:i4>
      </vt:variant>
    </vt:vector>
  </HeadingPairs>
  <TitlesOfParts>
    <vt:vector size="1" baseType="lpstr">
      <vt:lpstr>Victoria's visitor economy - latest performance results - year ending December 2022</vt:lpstr>
    </vt:vector>
  </TitlesOfParts>
  <Company/>
  <LinksUpToDate>false</LinksUpToDate>
  <CharactersWithSpaces>35387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Tourism data sources and definitions</dc:title>
  <dc:subject/>
  <dc:creator>Maria G Camillo (DJSIR)</dc:creator>
  <cp:keywords/>
  <dc:description/>
  <cp:lastModifiedBy>Jacinta M Hurst (DJSIR)</cp:lastModifiedBy>
  <cp:revision>2</cp:revision>
  <cp:lastPrinted>2023-08-18T06:54:00Z</cp:lastPrinted>
  <dcterms:created xsi:type="dcterms:W3CDTF">2024-05-21T04:02:00Z</dcterms:created>
  <dcterms:modified xsi:type="dcterms:W3CDTF">2024-05-21T04:02:00Z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0x0101004D82745D0D62BB4CBE615C53BB2573B6</vt:lpwstr>
  </property>
  <property fmtid="{D5CDD505-2E9C-101B-9397-08002B2CF9AE}" pid="3" name="MSIP_Label_d00a4df9-c942-4b09-b23a-6c1023f6de27_Enabled">
    <vt:lpwstr>true</vt:lpwstr>
  </property>
  <property fmtid="{D5CDD505-2E9C-101B-9397-08002B2CF9AE}" pid="4" name="MSIP_Label_d00a4df9-c942-4b09-b23a-6c1023f6de27_SetDate">
    <vt:lpwstr>2024-02-25T23:35:08Z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2b340fd3-0455-4127-b64e-e8f5fe77bbd7</vt:lpwstr>
  </property>
  <property fmtid="{D5CDD505-2E9C-101B-9397-08002B2CF9AE}" pid="9" name="MSIP_Label_d00a4df9-c942-4b09-b23a-6c1023f6de27_ContentBits">
    <vt:lpwstr>3</vt:lpwstr>
  </property>
</Properties>
</file>