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4121" w14:textId="77777777" w:rsidR="00B23D1C" w:rsidRDefault="00B23D1C" w:rsidP="00B23D1C"/>
    <w:p w14:paraId="25E5A73C" w14:textId="09645A0A" w:rsidR="00E37A04" w:rsidRPr="00934654" w:rsidRDefault="00124B78" w:rsidP="00E44444">
      <w:pPr>
        <w:pStyle w:val="Title"/>
        <w:rPr>
          <w:rFonts w:ascii="Arial" w:hAnsi="Arial" w:cs="Arial"/>
          <w:sz w:val="72"/>
          <w:szCs w:val="72"/>
        </w:rPr>
      </w:pPr>
      <w:r w:rsidRPr="00B82E1F">
        <w:rPr>
          <w:rFonts w:ascii="Arial" w:hAnsi="Arial" w:cs="Arial"/>
          <w:sz w:val="72"/>
          <w:szCs w:val="72"/>
        </w:rPr>
        <w:t>Economic Contribution of Tourism to Victoria</w:t>
      </w:r>
      <w:r w:rsidR="008D63CE" w:rsidRPr="00B82E1F">
        <w:rPr>
          <w:rFonts w:ascii="Arial" w:hAnsi="Arial" w:cs="Arial"/>
          <w:sz w:val="72"/>
          <w:szCs w:val="72"/>
        </w:rPr>
        <w:t xml:space="preserve"> </w:t>
      </w:r>
      <w:r w:rsidR="00087CA3" w:rsidRPr="00934654">
        <w:rPr>
          <w:rFonts w:ascii="Arial" w:hAnsi="Arial" w:cs="Arial"/>
          <w:sz w:val="72"/>
          <w:szCs w:val="72"/>
        </w:rPr>
        <w:t>2023-24</w:t>
      </w:r>
    </w:p>
    <w:p w14:paraId="26ADD60F" w14:textId="77777777" w:rsidR="00067708" w:rsidRPr="00934654" w:rsidRDefault="00067708" w:rsidP="008D63CE">
      <w:pPr>
        <w:pStyle w:val="NoSpacing"/>
        <w:rPr>
          <w:rFonts w:ascii="Arial" w:hAnsi="Arial" w:cs="Arial"/>
        </w:rPr>
      </w:pPr>
    </w:p>
    <w:p w14:paraId="1C0940A1" w14:textId="77777777" w:rsidR="00B23D1C" w:rsidRPr="00934654" w:rsidRDefault="00B23D1C" w:rsidP="00B23D1C"/>
    <w:p w14:paraId="2530FC66" w14:textId="3E37B758" w:rsidR="007546C9" w:rsidRPr="00934654" w:rsidRDefault="00E44444" w:rsidP="00497F51">
      <w:pPr>
        <w:pStyle w:val="Subtitle"/>
        <w:rPr>
          <w:rFonts w:ascii="Arial" w:hAnsi="Arial" w:cs="Arial"/>
          <w:sz w:val="24"/>
          <w:szCs w:val="24"/>
        </w:rPr>
      </w:pPr>
      <w:r w:rsidRPr="00934654">
        <w:rPr>
          <w:rFonts w:ascii="Arial" w:hAnsi="Arial" w:cs="Arial"/>
          <w:sz w:val="24"/>
          <w:szCs w:val="24"/>
        </w:rPr>
        <w:t xml:space="preserve">Latest results </w:t>
      </w:r>
      <w:r w:rsidR="00E03DB4" w:rsidRPr="00934654">
        <w:rPr>
          <w:rFonts w:ascii="Arial" w:hAnsi="Arial" w:cs="Arial"/>
          <w:sz w:val="24"/>
          <w:szCs w:val="24"/>
        </w:rPr>
        <w:t xml:space="preserve">for financial year </w:t>
      </w:r>
      <w:r w:rsidR="00087CA3" w:rsidRPr="00934654">
        <w:rPr>
          <w:rFonts w:ascii="Arial" w:hAnsi="Arial" w:cs="Arial"/>
          <w:sz w:val="24"/>
          <w:szCs w:val="24"/>
        </w:rPr>
        <w:t>2023-24</w:t>
      </w:r>
      <w:r w:rsidR="00122D91" w:rsidRPr="00934654">
        <w:rPr>
          <w:rFonts w:ascii="Arial" w:hAnsi="Arial" w:cs="Arial"/>
          <w:sz w:val="24"/>
          <w:szCs w:val="24"/>
        </w:rPr>
        <w:t xml:space="preserve"> based on data published by Tourism R</w:t>
      </w:r>
      <w:r w:rsidR="00542C10" w:rsidRPr="00934654">
        <w:rPr>
          <w:rFonts w:ascii="Arial" w:hAnsi="Arial" w:cs="Arial"/>
          <w:sz w:val="24"/>
          <w:szCs w:val="24"/>
        </w:rPr>
        <w:t xml:space="preserve">esearch Australia from the State Tourism Satellite </w:t>
      </w:r>
      <w:r w:rsidR="00084A5F" w:rsidRPr="00934654">
        <w:rPr>
          <w:rFonts w:ascii="Arial" w:hAnsi="Arial" w:cs="Arial"/>
          <w:sz w:val="24"/>
          <w:szCs w:val="24"/>
        </w:rPr>
        <w:t xml:space="preserve">Account </w:t>
      </w:r>
      <w:r w:rsidR="00542C10" w:rsidRPr="00934654">
        <w:rPr>
          <w:rFonts w:ascii="Arial" w:hAnsi="Arial" w:cs="Arial"/>
          <w:sz w:val="24"/>
          <w:szCs w:val="24"/>
        </w:rPr>
        <w:t xml:space="preserve">released in </w:t>
      </w:r>
      <w:r w:rsidR="001E05EB" w:rsidRPr="00934654">
        <w:rPr>
          <w:rFonts w:ascii="Arial" w:hAnsi="Arial" w:cs="Arial"/>
          <w:sz w:val="24"/>
          <w:szCs w:val="24"/>
        </w:rPr>
        <w:t>April 202</w:t>
      </w:r>
      <w:r w:rsidR="00087CA3" w:rsidRPr="00934654">
        <w:rPr>
          <w:rFonts w:ascii="Arial" w:hAnsi="Arial" w:cs="Arial"/>
          <w:sz w:val="24"/>
          <w:szCs w:val="24"/>
        </w:rPr>
        <w:t>5</w:t>
      </w:r>
      <w:r w:rsidR="00542C10" w:rsidRPr="00934654">
        <w:rPr>
          <w:rFonts w:ascii="Arial" w:hAnsi="Arial" w:cs="Arial"/>
          <w:sz w:val="24"/>
          <w:szCs w:val="24"/>
        </w:rPr>
        <w:t>.</w:t>
      </w:r>
    </w:p>
    <w:p w14:paraId="7FC0C1A9" w14:textId="7C276DDD" w:rsidR="00542C10" w:rsidRPr="00934654" w:rsidRDefault="00CD23C8" w:rsidP="00CD23C8">
      <w:pPr>
        <w:pStyle w:val="Subtitle"/>
        <w:rPr>
          <w:rFonts w:ascii="Arial" w:hAnsi="Arial" w:cs="Arial"/>
          <w:sz w:val="24"/>
          <w:szCs w:val="24"/>
        </w:rPr>
      </w:pPr>
      <w:r w:rsidRPr="00934654">
        <w:rPr>
          <w:rFonts w:ascii="Arial" w:hAnsi="Arial" w:cs="Arial"/>
          <w:sz w:val="24"/>
          <w:szCs w:val="24"/>
        </w:rPr>
        <w:t>This r</w:t>
      </w:r>
      <w:r w:rsidR="00542C10" w:rsidRPr="00934654">
        <w:rPr>
          <w:rFonts w:ascii="Arial" w:hAnsi="Arial" w:cs="Arial"/>
          <w:sz w:val="24"/>
          <w:szCs w:val="24"/>
        </w:rPr>
        <w:t xml:space="preserve">eport </w:t>
      </w:r>
      <w:r w:rsidRPr="00934654">
        <w:rPr>
          <w:rFonts w:ascii="Arial" w:hAnsi="Arial" w:cs="Arial"/>
          <w:sz w:val="24"/>
          <w:szCs w:val="24"/>
        </w:rPr>
        <w:t xml:space="preserve">was </w:t>
      </w:r>
      <w:r w:rsidR="00542C10" w:rsidRPr="00934654">
        <w:rPr>
          <w:rFonts w:ascii="Arial" w:hAnsi="Arial" w:cs="Arial"/>
          <w:sz w:val="24"/>
          <w:szCs w:val="24"/>
        </w:rPr>
        <w:t xml:space="preserve">produced by the Tourism and Events </w:t>
      </w:r>
      <w:r w:rsidR="004E68DC" w:rsidRPr="00934654">
        <w:rPr>
          <w:rFonts w:ascii="Arial" w:hAnsi="Arial" w:cs="Arial"/>
          <w:sz w:val="24"/>
          <w:szCs w:val="24"/>
        </w:rPr>
        <w:t>r</w:t>
      </w:r>
      <w:r w:rsidR="00542C10" w:rsidRPr="00934654">
        <w:rPr>
          <w:rFonts w:ascii="Arial" w:hAnsi="Arial" w:cs="Arial"/>
          <w:sz w:val="24"/>
          <w:szCs w:val="24"/>
        </w:rPr>
        <w:t xml:space="preserve">esearch </w:t>
      </w:r>
      <w:r w:rsidR="004E68DC" w:rsidRPr="00934654">
        <w:rPr>
          <w:rFonts w:ascii="Arial" w:hAnsi="Arial" w:cs="Arial"/>
          <w:sz w:val="24"/>
          <w:szCs w:val="24"/>
        </w:rPr>
        <w:t>u</w:t>
      </w:r>
      <w:r w:rsidR="00542C10" w:rsidRPr="00934654">
        <w:rPr>
          <w:rFonts w:ascii="Arial" w:hAnsi="Arial" w:cs="Arial"/>
          <w:sz w:val="24"/>
          <w:szCs w:val="24"/>
        </w:rPr>
        <w:t xml:space="preserve">nit </w:t>
      </w:r>
      <w:r w:rsidR="00270B69" w:rsidRPr="00934654">
        <w:rPr>
          <w:rFonts w:ascii="Arial" w:hAnsi="Arial" w:cs="Arial"/>
          <w:sz w:val="24"/>
          <w:szCs w:val="24"/>
        </w:rPr>
        <w:t>from</w:t>
      </w:r>
      <w:r w:rsidR="00542C10" w:rsidRPr="00934654">
        <w:rPr>
          <w:rFonts w:ascii="Arial" w:hAnsi="Arial" w:cs="Arial"/>
          <w:sz w:val="24"/>
          <w:szCs w:val="24"/>
        </w:rPr>
        <w:t xml:space="preserve"> the Department of Jobs, Skills</w:t>
      </w:r>
      <w:r w:rsidR="00270B69" w:rsidRPr="00934654">
        <w:rPr>
          <w:rFonts w:ascii="Arial" w:hAnsi="Arial" w:cs="Arial"/>
          <w:sz w:val="24"/>
          <w:szCs w:val="24"/>
        </w:rPr>
        <w:t>, Industry and Regions, Victorian Government</w:t>
      </w:r>
      <w:r w:rsidR="00425BDC" w:rsidRPr="00934654">
        <w:rPr>
          <w:rFonts w:ascii="Arial" w:hAnsi="Arial" w:cs="Arial"/>
          <w:sz w:val="24"/>
          <w:szCs w:val="24"/>
        </w:rPr>
        <w:t xml:space="preserve"> </w:t>
      </w:r>
      <w:r w:rsidR="004E68DC" w:rsidRPr="00934654">
        <w:rPr>
          <w:rFonts w:ascii="Arial" w:hAnsi="Arial" w:cs="Arial"/>
          <w:sz w:val="24"/>
          <w:szCs w:val="24"/>
        </w:rPr>
        <w:t xml:space="preserve">in </w:t>
      </w:r>
      <w:r w:rsidR="001E05EB" w:rsidRPr="00934654">
        <w:rPr>
          <w:rFonts w:ascii="Arial" w:hAnsi="Arial" w:cs="Arial"/>
          <w:sz w:val="24"/>
          <w:szCs w:val="24"/>
        </w:rPr>
        <w:t>April 202</w:t>
      </w:r>
      <w:r w:rsidR="00087CA3" w:rsidRPr="00934654">
        <w:rPr>
          <w:rFonts w:ascii="Arial" w:hAnsi="Arial" w:cs="Arial"/>
          <w:sz w:val="24"/>
          <w:szCs w:val="24"/>
        </w:rPr>
        <w:t>5</w:t>
      </w:r>
      <w:r w:rsidRPr="00934654">
        <w:rPr>
          <w:rFonts w:ascii="Arial" w:hAnsi="Arial" w:cs="Arial"/>
          <w:sz w:val="24"/>
          <w:szCs w:val="24"/>
        </w:rPr>
        <w:t>.</w:t>
      </w:r>
      <w:r w:rsidR="00542C10" w:rsidRPr="00934654">
        <w:rPr>
          <w:rFonts w:ascii="Arial" w:hAnsi="Arial" w:cs="Arial"/>
          <w:sz w:val="24"/>
          <w:szCs w:val="24"/>
        </w:rPr>
        <w:t xml:space="preserve"> </w:t>
      </w:r>
    </w:p>
    <w:p w14:paraId="5F7B8FB8" w14:textId="77777777" w:rsidR="00796905" w:rsidRPr="00796905" w:rsidRDefault="00796905" w:rsidP="00796905">
      <w:pPr>
        <w:pStyle w:val="Subtitle"/>
        <w:rPr>
          <w:rFonts w:ascii="Arial" w:hAnsi="Arial" w:cs="Arial"/>
          <w:sz w:val="24"/>
          <w:szCs w:val="24"/>
        </w:rPr>
      </w:pPr>
      <w:r w:rsidRPr="00934654">
        <w:rPr>
          <w:rFonts w:ascii="Arial" w:hAnsi="Arial" w:cs="Arial"/>
          <w:sz w:val="24"/>
          <w:szCs w:val="24"/>
        </w:rPr>
        <w:t>To note: the State TSA estimates in this publication are not comparable to previously released estimates. The most recent results should only be compared to the revised time series in this release to ensure like-for-like comparisons.</w:t>
      </w:r>
    </w:p>
    <w:p w14:paraId="55196146" w14:textId="77777777" w:rsidR="00796905" w:rsidRPr="00796905" w:rsidRDefault="00796905" w:rsidP="00796905"/>
    <w:p w14:paraId="2D9016E4" w14:textId="77777777" w:rsidR="00BE4996" w:rsidRDefault="00BE4996">
      <w:pPr>
        <w:rPr>
          <w:rFonts w:ascii="Arial" w:eastAsiaTheme="majorEastAsia" w:hAnsi="Arial" w:cs="Arial"/>
          <w:color w:val="002060"/>
          <w:sz w:val="40"/>
          <w:szCs w:val="40"/>
        </w:rPr>
      </w:pPr>
      <w:bookmarkStart w:id="0" w:name="_Toc133227909"/>
      <w:bookmarkStart w:id="1" w:name="_Toc133231686"/>
      <w:bookmarkStart w:id="2" w:name="_Toc135746372"/>
      <w:bookmarkStart w:id="3" w:name="_Toc135763755"/>
      <w:bookmarkStart w:id="4" w:name="_Toc135764030"/>
      <w:bookmarkStart w:id="5" w:name="_Toc135764665"/>
      <w:bookmarkStart w:id="6" w:name="_Toc135764899"/>
      <w:bookmarkStart w:id="7" w:name="_Toc136002061"/>
      <w:bookmarkStart w:id="8" w:name="_Toc136012317"/>
      <w:bookmarkStart w:id="9" w:name="_Toc149055399"/>
      <w:bookmarkStart w:id="10" w:name="_Toc149055650"/>
      <w:bookmarkStart w:id="11" w:name="_Toc149055800"/>
      <w:bookmarkStart w:id="12" w:name="_Toc149055855"/>
      <w:bookmarkStart w:id="13" w:name="_Toc149056183"/>
      <w:bookmarkStart w:id="14" w:name="_Toc155968013"/>
      <w:bookmarkStart w:id="15" w:name="_Toc164761954"/>
      <w:bookmarkStart w:id="16" w:name="_Toc164762251"/>
      <w:r>
        <w:rPr>
          <w:rFonts w:cs="Arial"/>
        </w:rPr>
        <w:br w:type="page"/>
      </w:r>
    </w:p>
    <w:p w14:paraId="244AF020" w14:textId="77777777" w:rsidR="00572B39" w:rsidRDefault="007546C9" w:rsidP="00BE4996">
      <w:pPr>
        <w:pStyle w:val="Heading1"/>
        <w:rPr>
          <w:noProof/>
        </w:rPr>
      </w:pPr>
      <w:bookmarkStart w:id="17" w:name="_Toc165036204"/>
      <w:bookmarkStart w:id="18" w:name="_Toc194938454"/>
      <w:r w:rsidRPr="00B82E1F">
        <w:rPr>
          <w:rFonts w:cs="Arial"/>
        </w:rPr>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B82E1F">
        <w:rPr>
          <w:rFonts w:cs="Arial"/>
          <w:color w:val="538135" w:themeColor="accent6" w:themeShade="BF"/>
          <w:sz w:val="22"/>
          <w:szCs w:val="22"/>
        </w:rPr>
        <w:fldChar w:fldCharType="begin"/>
      </w:r>
      <w:r w:rsidRPr="00B82E1F">
        <w:rPr>
          <w:rFonts w:cs="Arial"/>
          <w:sz w:val="22"/>
          <w:szCs w:val="22"/>
        </w:rPr>
        <w:instrText xml:space="preserve"> TOC \o "1-2" \h \z \u </w:instrText>
      </w:r>
      <w:r w:rsidRPr="00B82E1F">
        <w:rPr>
          <w:rFonts w:cs="Arial"/>
          <w:color w:val="538135" w:themeColor="accent6" w:themeShade="BF"/>
          <w:sz w:val="22"/>
          <w:szCs w:val="22"/>
        </w:rPr>
        <w:fldChar w:fldCharType="separate"/>
      </w:r>
    </w:p>
    <w:p w14:paraId="6F17DE67" w14:textId="3F5F159D" w:rsidR="00572B39" w:rsidRPr="00572B39" w:rsidRDefault="00572B39">
      <w:pPr>
        <w:pStyle w:val="TOC1"/>
        <w:rPr>
          <w:rFonts w:ascii="Arial" w:hAnsi="Arial" w:cs="Arial"/>
          <w:noProof/>
          <w:kern w:val="2"/>
          <w:sz w:val="24"/>
          <w:szCs w:val="24"/>
          <w:lang w:eastAsia="en-AU"/>
          <w14:ligatures w14:val="standardContextual"/>
        </w:rPr>
      </w:pPr>
      <w:hyperlink w:anchor="_Toc194938455" w:history="1">
        <w:r w:rsidRPr="00572B39">
          <w:rPr>
            <w:rStyle w:val="Hyperlink"/>
            <w:rFonts w:ascii="Arial" w:hAnsi="Arial" w:cs="Arial"/>
            <w:noProof/>
          </w:rPr>
          <w:t>1. Headline results for Victoria</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_Toc194938455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3</w:t>
        </w:r>
        <w:r w:rsidRPr="00572B39">
          <w:rPr>
            <w:rFonts w:ascii="Arial" w:hAnsi="Arial" w:cs="Arial"/>
            <w:noProof/>
            <w:webHidden/>
          </w:rPr>
          <w:fldChar w:fldCharType="end"/>
        </w:r>
      </w:hyperlink>
    </w:p>
    <w:p w14:paraId="01BC0956" w14:textId="1E562255"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56" w:history="1">
        <w:r w:rsidRPr="00572B39">
          <w:rPr>
            <w:rStyle w:val="Hyperlink"/>
            <w:rFonts w:ascii="Arial" w:hAnsi="Arial" w:cs="Arial"/>
            <w:noProof/>
          </w:rPr>
          <w:t>1.1 Data table: key results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_Toc194938456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3</w:t>
        </w:r>
        <w:r w:rsidRPr="00572B39">
          <w:rPr>
            <w:rFonts w:ascii="Arial" w:hAnsi="Arial" w:cs="Arial"/>
            <w:noProof/>
            <w:webHidden/>
          </w:rPr>
          <w:fldChar w:fldCharType="end"/>
        </w:r>
      </w:hyperlink>
    </w:p>
    <w:p w14:paraId="25BEDBB8" w14:textId="6F03B926" w:rsidR="00572B39" w:rsidRPr="00572B39" w:rsidRDefault="00572B39">
      <w:pPr>
        <w:pStyle w:val="TOC1"/>
        <w:rPr>
          <w:rFonts w:ascii="Arial" w:hAnsi="Arial" w:cs="Arial"/>
          <w:noProof/>
          <w:kern w:val="2"/>
          <w:sz w:val="24"/>
          <w:szCs w:val="24"/>
          <w:lang w:eastAsia="en-AU"/>
          <w14:ligatures w14:val="standardContextual"/>
        </w:rPr>
      </w:pPr>
      <w:hyperlink w:anchor="_Toc194938457" w:history="1">
        <w:r w:rsidRPr="00572B39">
          <w:rPr>
            <w:rStyle w:val="Hyperlink"/>
            <w:rFonts w:ascii="Arial" w:hAnsi="Arial" w:cs="Arial"/>
            <w:noProof/>
          </w:rPr>
          <w:t>2. Summary</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_Toc194938457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3</w:t>
        </w:r>
        <w:r w:rsidRPr="00572B39">
          <w:rPr>
            <w:rFonts w:ascii="Arial" w:hAnsi="Arial" w:cs="Arial"/>
            <w:noProof/>
            <w:webHidden/>
          </w:rPr>
          <w:fldChar w:fldCharType="end"/>
        </w:r>
      </w:hyperlink>
    </w:p>
    <w:p w14:paraId="25FFF385" w14:textId="78B0B586" w:rsidR="00572B39" w:rsidRPr="00572B39" w:rsidRDefault="00572B39">
      <w:pPr>
        <w:pStyle w:val="TOC1"/>
        <w:rPr>
          <w:rFonts w:ascii="Arial" w:hAnsi="Arial" w:cs="Arial"/>
          <w:noProof/>
          <w:kern w:val="2"/>
          <w:sz w:val="24"/>
          <w:szCs w:val="24"/>
          <w:lang w:eastAsia="en-AU"/>
          <w14:ligatures w14:val="standardContextual"/>
        </w:rPr>
      </w:pPr>
      <w:hyperlink w:anchor="_Toc194938458" w:history="1">
        <w:r w:rsidRPr="00572B39">
          <w:rPr>
            <w:rStyle w:val="Hyperlink"/>
            <w:rFonts w:ascii="Arial" w:hAnsi="Arial" w:cs="Arial"/>
            <w:noProof/>
          </w:rPr>
          <w:t>3. Gross State Product (GSP)</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_Toc194938458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4</w:t>
        </w:r>
        <w:r w:rsidRPr="00572B39">
          <w:rPr>
            <w:rFonts w:ascii="Arial" w:hAnsi="Arial" w:cs="Arial"/>
            <w:noProof/>
            <w:webHidden/>
          </w:rPr>
          <w:fldChar w:fldCharType="end"/>
        </w:r>
      </w:hyperlink>
    </w:p>
    <w:p w14:paraId="672DFF58" w14:textId="64A585EB"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59" w:history="1">
        <w:r w:rsidRPr="00572B39">
          <w:rPr>
            <w:rStyle w:val="Hyperlink"/>
            <w:rFonts w:ascii="Arial" w:hAnsi="Arial" w:cs="Arial"/>
            <w:noProof/>
          </w:rPr>
          <w:t>3.1 Data tables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_Toc194938459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4</w:t>
        </w:r>
        <w:r w:rsidRPr="00572B39">
          <w:rPr>
            <w:rFonts w:ascii="Arial" w:hAnsi="Arial" w:cs="Arial"/>
            <w:noProof/>
            <w:webHidden/>
          </w:rPr>
          <w:fldChar w:fldCharType="end"/>
        </w:r>
      </w:hyperlink>
    </w:p>
    <w:p w14:paraId="6AA9BE7D" w14:textId="1747E693" w:rsidR="00572B39" w:rsidRPr="00572B39" w:rsidRDefault="00572B39">
      <w:pPr>
        <w:pStyle w:val="TOC1"/>
        <w:rPr>
          <w:rFonts w:ascii="Arial" w:hAnsi="Arial" w:cs="Arial"/>
          <w:noProof/>
          <w:kern w:val="2"/>
          <w:sz w:val="24"/>
          <w:szCs w:val="24"/>
          <w:lang w:eastAsia="en-AU"/>
          <w14:ligatures w14:val="standardContextual"/>
        </w:rPr>
      </w:pPr>
      <w:hyperlink w:anchor="_Toc194938460" w:history="1">
        <w:r w:rsidRPr="00572B39">
          <w:rPr>
            <w:rStyle w:val="Hyperlink"/>
            <w:rFonts w:ascii="Arial" w:hAnsi="Arial" w:cs="Arial"/>
            <w:noProof/>
          </w:rPr>
          <w:t>4. Gross Value Added (GVA)</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_Toc194938460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4</w:t>
        </w:r>
        <w:r w:rsidRPr="00572B39">
          <w:rPr>
            <w:rFonts w:ascii="Arial" w:hAnsi="Arial" w:cs="Arial"/>
            <w:noProof/>
            <w:webHidden/>
          </w:rPr>
          <w:fldChar w:fldCharType="end"/>
        </w:r>
      </w:hyperlink>
    </w:p>
    <w:p w14:paraId="0CFDB45B" w14:textId="77F781E6"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61" w:history="1">
        <w:r w:rsidRPr="00572B39">
          <w:rPr>
            <w:rStyle w:val="Hyperlink"/>
            <w:rFonts w:ascii="Arial" w:hAnsi="Arial" w:cs="Arial"/>
            <w:noProof/>
          </w:rPr>
          <w:t>4.1 Data table</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_Toc194938461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5</w:t>
        </w:r>
        <w:r w:rsidRPr="00572B39">
          <w:rPr>
            <w:rFonts w:ascii="Arial" w:hAnsi="Arial" w:cs="Arial"/>
            <w:noProof/>
            <w:webHidden/>
          </w:rPr>
          <w:fldChar w:fldCharType="end"/>
        </w:r>
      </w:hyperlink>
    </w:p>
    <w:p w14:paraId="7BFCAC98" w14:textId="5D46A2E2" w:rsidR="00572B39" w:rsidRPr="00572B39" w:rsidRDefault="00572B39">
      <w:pPr>
        <w:pStyle w:val="TOC1"/>
        <w:rPr>
          <w:rFonts w:ascii="Arial" w:hAnsi="Arial" w:cs="Arial"/>
          <w:noProof/>
          <w:kern w:val="2"/>
          <w:sz w:val="24"/>
          <w:szCs w:val="24"/>
          <w:lang w:eastAsia="en-AU"/>
          <w14:ligatures w14:val="standardContextual"/>
        </w:rPr>
      </w:pPr>
      <w:hyperlink w:anchor="_Toc194938462" w:history="1">
        <w:r w:rsidRPr="00572B39">
          <w:rPr>
            <w:rStyle w:val="Hyperlink"/>
            <w:rFonts w:ascii="Arial" w:hAnsi="Arial" w:cs="Arial"/>
            <w:noProof/>
          </w:rPr>
          <w:t>5</w:t>
        </w:r>
        <w:r w:rsidRPr="00572B39">
          <w:rPr>
            <w:rStyle w:val="Hyperlink"/>
            <w:rFonts w:ascii="Arial" w:eastAsiaTheme="minorHAnsi" w:hAnsi="Arial" w:cs="Arial"/>
            <w:noProof/>
          </w:rPr>
          <w:t xml:space="preserve">. </w:t>
        </w:r>
        <w:r w:rsidRPr="00572B39">
          <w:rPr>
            <w:rStyle w:val="Hyperlink"/>
            <w:rFonts w:ascii="Arial" w:hAnsi="Arial" w:cs="Arial"/>
            <w:noProof/>
          </w:rPr>
          <w:t>Tourism filled jobs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_Toc194938462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5</w:t>
        </w:r>
        <w:r w:rsidRPr="00572B39">
          <w:rPr>
            <w:rFonts w:ascii="Arial" w:hAnsi="Arial" w:cs="Arial"/>
            <w:noProof/>
            <w:webHidden/>
          </w:rPr>
          <w:fldChar w:fldCharType="end"/>
        </w:r>
      </w:hyperlink>
    </w:p>
    <w:p w14:paraId="2776437F" w14:textId="317F69BA"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63" w:history="1">
        <w:r w:rsidRPr="00572B39">
          <w:rPr>
            <w:rStyle w:val="Hyperlink"/>
            <w:rFonts w:ascii="Arial" w:eastAsiaTheme="minorHAnsi" w:hAnsi="Arial" w:cs="Arial"/>
            <w:noProof/>
          </w:rPr>
          <w:t>5.1 Data table</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_Toc194938463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6</w:t>
        </w:r>
        <w:r w:rsidRPr="00572B39">
          <w:rPr>
            <w:rFonts w:ascii="Arial" w:hAnsi="Arial" w:cs="Arial"/>
            <w:noProof/>
            <w:webHidden/>
          </w:rPr>
          <w:fldChar w:fldCharType="end"/>
        </w:r>
      </w:hyperlink>
    </w:p>
    <w:p w14:paraId="7F0837C6" w14:textId="1D043CD4"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64" w:history="1">
        <w:r w:rsidRPr="00572B39">
          <w:rPr>
            <w:rStyle w:val="Hyperlink"/>
            <w:rFonts w:ascii="Arial" w:eastAsiaTheme="minorHAnsi" w:hAnsi="Arial" w:cs="Arial"/>
            <w:noProof/>
          </w:rPr>
          <w:t>5.2 Time series data tables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_Toc194938464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7</w:t>
        </w:r>
        <w:r w:rsidRPr="00572B39">
          <w:rPr>
            <w:rFonts w:ascii="Arial" w:hAnsi="Arial" w:cs="Arial"/>
            <w:noProof/>
            <w:webHidden/>
          </w:rPr>
          <w:fldChar w:fldCharType="end"/>
        </w:r>
      </w:hyperlink>
    </w:p>
    <w:p w14:paraId="7950A28F" w14:textId="3215C971" w:rsidR="00572B39" w:rsidRPr="00572B39" w:rsidRDefault="00572B39">
      <w:pPr>
        <w:pStyle w:val="TOC1"/>
        <w:rPr>
          <w:rFonts w:ascii="Arial" w:hAnsi="Arial" w:cs="Arial"/>
          <w:noProof/>
          <w:kern w:val="2"/>
          <w:sz w:val="24"/>
          <w:szCs w:val="24"/>
          <w:lang w:eastAsia="en-AU"/>
          <w14:ligatures w14:val="standardContextual"/>
        </w:rPr>
      </w:pPr>
      <w:hyperlink w:anchor="_Toc194938465" w:history="1">
        <w:r w:rsidRPr="00572B39">
          <w:rPr>
            <w:rStyle w:val="Hyperlink"/>
            <w:rFonts w:ascii="Arial" w:hAnsi="Arial" w:cs="Arial"/>
            <w:noProof/>
          </w:rPr>
          <w:t>6. Industry comparisons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_Toc194938465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7</w:t>
        </w:r>
        <w:r w:rsidRPr="00572B39">
          <w:rPr>
            <w:rFonts w:ascii="Arial" w:hAnsi="Arial" w:cs="Arial"/>
            <w:noProof/>
            <w:webHidden/>
          </w:rPr>
          <w:fldChar w:fldCharType="end"/>
        </w:r>
      </w:hyperlink>
    </w:p>
    <w:p w14:paraId="25793D10" w14:textId="3A0F41F6"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66" w:history="1">
        <w:r w:rsidRPr="00572B39">
          <w:rPr>
            <w:rStyle w:val="Hyperlink"/>
            <w:rFonts w:ascii="Arial" w:eastAsiaTheme="minorHAnsi" w:hAnsi="Arial" w:cs="Arial"/>
            <w:noProof/>
          </w:rPr>
          <w:t>6.1 Data tables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_Toc194938466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7</w:t>
        </w:r>
        <w:r w:rsidRPr="00572B39">
          <w:rPr>
            <w:rFonts w:ascii="Arial" w:hAnsi="Arial" w:cs="Arial"/>
            <w:noProof/>
            <w:webHidden/>
          </w:rPr>
          <w:fldChar w:fldCharType="end"/>
        </w:r>
      </w:hyperlink>
    </w:p>
    <w:p w14:paraId="3728650E" w14:textId="1E95DBD3" w:rsidR="00572B39" w:rsidRPr="00572B39" w:rsidRDefault="00572B39">
      <w:pPr>
        <w:pStyle w:val="TOC1"/>
        <w:rPr>
          <w:rFonts w:ascii="Arial" w:hAnsi="Arial" w:cs="Arial"/>
          <w:noProof/>
          <w:kern w:val="2"/>
          <w:sz w:val="24"/>
          <w:szCs w:val="24"/>
          <w:lang w:eastAsia="en-AU"/>
          <w14:ligatures w14:val="standardContextual"/>
        </w:rPr>
      </w:pPr>
      <w:hyperlink w:anchor="_Toc194938467" w:history="1">
        <w:r w:rsidRPr="00572B39">
          <w:rPr>
            <w:rStyle w:val="Hyperlink"/>
            <w:rFonts w:ascii="Arial" w:hAnsi="Arial" w:cs="Arial"/>
            <w:noProof/>
          </w:rPr>
          <w:t>7. Tourism consumption</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_Toc194938467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9</w:t>
        </w:r>
        <w:r w:rsidRPr="00572B39">
          <w:rPr>
            <w:rFonts w:ascii="Arial" w:hAnsi="Arial" w:cs="Arial"/>
            <w:noProof/>
            <w:webHidden/>
          </w:rPr>
          <w:fldChar w:fldCharType="end"/>
        </w:r>
      </w:hyperlink>
    </w:p>
    <w:p w14:paraId="23B9A68D" w14:textId="42F4398C" w:rsidR="00572B39" w:rsidRPr="00572B39" w:rsidRDefault="00572B39">
      <w:pPr>
        <w:pStyle w:val="TOC1"/>
        <w:rPr>
          <w:rFonts w:ascii="Arial" w:hAnsi="Arial" w:cs="Arial"/>
          <w:noProof/>
          <w:kern w:val="2"/>
          <w:sz w:val="24"/>
          <w:szCs w:val="24"/>
          <w:lang w:eastAsia="en-AU"/>
          <w14:ligatures w14:val="standardContextual"/>
        </w:rPr>
      </w:pPr>
      <w:hyperlink w:anchor="_Toc194938468" w:history="1">
        <w:r w:rsidRPr="00572B39">
          <w:rPr>
            <w:rStyle w:val="Hyperlink"/>
            <w:rFonts w:ascii="Arial" w:hAnsi="Arial" w:cs="Arial"/>
            <w:noProof/>
          </w:rPr>
          <w:t>8. State and territory comparisons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_Toc194938468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9</w:t>
        </w:r>
        <w:r w:rsidRPr="00572B39">
          <w:rPr>
            <w:rFonts w:ascii="Arial" w:hAnsi="Arial" w:cs="Arial"/>
            <w:noProof/>
            <w:webHidden/>
          </w:rPr>
          <w:fldChar w:fldCharType="end"/>
        </w:r>
      </w:hyperlink>
    </w:p>
    <w:p w14:paraId="2437283F" w14:textId="5A28CB90"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69" w:history="1">
        <w:r w:rsidRPr="00572B39">
          <w:rPr>
            <w:rStyle w:val="Hyperlink"/>
            <w:rFonts w:ascii="Arial" w:hAnsi="Arial" w:cs="Arial"/>
            <w:noProof/>
          </w:rPr>
          <w:t>8.1 Gross State Product</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_Toc194938469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9</w:t>
        </w:r>
        <w:r w:rsidRPr="00572B39">
          <w:rPr>
            <w:rFonts w:ascii="Arial" w:hAnsi="Arial" w:cs="Arial"/>
            <w:noProof/>
            <w:webHidden/>
          </w:rPr>
          <w:fldChar w:fldCharType="end"/>
        </w:r>
      </w:hyperlink>
    </w:p>
    <w:p w14:paraId="730FB520" w14:textId="6FA0C927"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0" w:history="1">
        <w:r w:rsidRPr="00572B39">
          <w:rPr>
            <w:rStyle w:val="Hyperlink"/>
            <w:rFonts w:ascii="Arial" w:hAnsi="Arial" w:cs="Arial"/>
            <w:noProof/>
          </w:rPr>
          <w:t>8.2 Data table</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_Toc194938470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10</w:t>
        </w:r>
        <w:r w:rsidRPr="00572B39">
          <w:rPr>
            <w:rFonts w:ascii="Arial" w:hAnsi="Arial" w:cs="Arial"/>
            <w:noProof/>
            <w:webHidden/>
          </w:rPr>
          <w:fldChar w:fldCharType="end"/>
        </w:r>
      </w:hyperlink>
    </w:p>
    <w:p w14:paraId="3CA48E54" w14:textId="4A02D872"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1" w:history="1">
        <w:r w:rsidRPr="00572B39">
          <w:rPr>
            <w:rStyle w:val="Hyperlink"/>
            <w:rFonts w:ascii="Arial" w:hAnsi="Arial" w:cs="Arial"/>
            <w:noProof/>
          </w:rPr>
          <w:t>8.3 Tourism filled jobs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_Toc194938471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10</w:t>
        </w:r>
        <w:r w:rsidRPr="00572B39">
          <w:rPr>
            <w:rFonts w:ascii="Arial" w:hAnsi="Arial" w:cs="Arial"/>
            <w:noProof/>
            <w:webHidden/>
          </w:rPr>
          <w:fldChar w:fldCharType="end"/>
        </w:r>
      </w:hyperlink>
    </w:p>
    <w:p w14:paraId="0FF4F02E" w14:textId="1BB83C81"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2" w:history="1">
        <w:r w:rsidRPr="00572B39">
          <w:rPr>
            <w:rStyle w:val="Hyperlink"/>
            <w:rFonts w:ascii="Arial" w:hAnsi="Arial" w:cs="Arial"/>
            <w:noProof/>
          </w:rPr>
          <w:t>8.4 Data table</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_Toc194938472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10</w:t>
        </w:r>
        <w:r w:rsidRPr="00572B39">
          <w:rPr>
            <w:rFonts w:ascii="Arial" w:hAnsi="Arial" w:cs="Arial"/>
            <w:noProof/>
            <w:webHidden/>
          </w:rPr>
          <w:fldChar w:fldCharType="end"/>
        </w:r>
      </w:hyperlink>
    </w:p>
    <w:p w14:paraId="42AEC903" w14:textId="73F44E1B"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3" w:history="1">
        <w:r w:rsidRPr="00572B39">
          <w:rPr>
            <w:rStyle w:val="Hyperlink"/>
            <w:rFonts w:ascii="Arial" w:hAnsi="Arial" w:cs="Arial"/>
            <w:noProof/>
          </w:rPr>
          <w:t>8.5 Gross State Product – contribution by state/ territory</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_Toc194938473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11</w:t>
        </w:r>
        <w:r w:rsidRPr="00572B39">
          <w:rPr>
            <w:rFonts w:ascii="Arial" w:hAnsi="Arial" w:cs="Arial"/>
            <w:noProof/>
            <w:webHidden/>
          </w:rPr>
          <w:fldChar w:fldCharType="end"/>
        </w:r>
      </w:hyperlink>
    </w:p>
    <w:p w14:paraId="466249B0" w14:textId="66BEB8BD"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4" w:history="1">
        <w:r w:rsidRPr="00572B39">
          <w:rPr>
            <w:rStyle w:val="Hyperlink"/>
            <w:rFonts w:ascii="Arial" w:hAnsi="Arial" w:cs="Arial"/>
            <w:noProof/>
          </w:rPr>
          <w:t>8.6 Data table</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_Toc194938474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11</w:t>
        </w:r>
        <w:r w:rsidRPr="00572B39">
          <w:rPr>
            <w:rFonts w:ascii="Arial" w:hAnsi="Arial" w:cs="Arial"/>
            <w:noProof/>
            <w:webHidden/>
          </w:rPr>
          <w:fldChar w:fldCharType="end"/>
        </w:r>
      </w:hyperlink>
    </w:p>
    <w:p w14:paraId="43B1B75C" w14:textId="7B52D2FD"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5" w:history="1">
        <w:r w:rsidRPr="00572B39">
          <w:rPr>
            <w:rStyle w:val="Hyperlink"/>
            <w:rFonts w:ascii="Arial" w:hAnsi="Arial" w:cs="Arial"/>
            <w:noProof/>
          </w:rPr>
          <w:t>8.7 Tourism filled jobs – contribution to economy by state/ territory</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_Toc194938475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11</w:t>
        </w:r>
        <w:r w:rsidRPr="00572B39">
          <w:rPr>
            <w:rFonts w:ascii="Arial" w:hAnsi="Arial" w:cs="Arial"/>
            <w:noProof/>
            <w:webHidden/>
          </w:rPr>
          <w:fldChar w:fldCharType="end"/>
        </w:r>
      </w:hyperlink>
    </w:p>
    <w:p w14:paraId="13D416C5" w14:textId="255F4783"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6" w:history="1">
        <w:r w:rsidRPr="00572B39">
          <w:rPr>
            <w:rStyle w:val="Hyperlink"/>
            <w:rFonts w:ascii="Arial" w:eastAsiaTheme="minorHAnsi" w:hAnsi="Arial" w:cs="Arial"/>
            <w:noProof/>
          </w:rPr>
          <w:t>8.8 Data table</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_Toc194938476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11</w:t>
        </w:r>
        <w:r w:rsidRPr="00572B39">
          <w:rPr>
            <w:rFonts w:ascii="Arial" w:hAnsi="Arial" w:cs="Arial"/>
            <w:noProof/>
            <w:webHidden/>
          </w:rPr>
          <w:fldChar w:fldCharType="end"/>
        </w:r>
      </w:hyperlink>
    </w:p>
    <w:p w14:paraId="4A7A4EF2" w14:textId="48E89D35" w:rsidR="00572B39" w:rsidRPr="00572B39" w:rsidRDefault="00572B39">
      <w:pPr>
        <w:pStyle w:val="TOC1"/>
        <w:rPr>
          <w:rFonts w:ascii="Arial" w:hAnsi="Arial" w:cs="Arial"/>
          <w:noProof/>
          <w:kern w:val="2"/>
          <w:sz w:val="24"/>
          <w:szCs w:val="24"/>
          <w:lang w:eastAsia="en-AU"/>
          <w14:ligatures w14:val="standardContextual"/>
        </w:rPr>
      </w:pPr>
      <w:hyperlink w:anchor="_Toc194938477" w:history="1">
        <w:r w:rsidRPr="00572B39">
          <w:rPr>
            <w:rStyle w:val="Hyperlink"/>
            <w:rFonts w:ascii="Arial" w:hAnsi="Arial" w:cs="Arial"/>
            <w:noProof/>
          </w:rPr>
          <w:t>9. Detailed data tables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_Toc194938477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13</w:t>
        </w:r>
        <w:r w:rsidRPr="00572B39">
          <w:rPr>
            <w:rFonts w:ascii="Arial" w:hAnsi="Arial" w:cs="Arial"/>
            <w:noProof/>
            <w:webHidden/>
          </w:rPr>
          <w:fldChar w:fldCharType="end"/>
        </w:r>
      </w:hyperlink>
    </w:p>
    <w:p w14:paraId="5133696A" w14:textId="71EAA66A"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8" w:history="1">
        <w:r w:rsidRPr="00572B39">
          <w:rPr>
            <w:rStyle w:val="Hyperlink"/>
            <w:rFonts w:ascii="Arial" w:hAnsi="Arial" w:cs="Arial"/>
            <w:noProof/>
          </w:rPr>
          <w:t>9.1 Gross Value Added</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_Toc194938478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13</w:t>
        </w:r>
        <w:r w:rsidRPr="00572B39">
          <w:rPr>
            <w:rFonts w:ascii="Arial" w:hAnsi="Arial" w:cs="Arial"/>
            <w:noProof/>
            <w:webHidden/>
          </w:rPr>
          <w:fldChar w:fldCharType="end"/>
        </w:r>
      </w:hyperlink>
    </w:p>
    <w:p w14:paraId="3C5FD6A2" w14:textId="5166FA26"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79" w:history="1">
        <w:r w:rsidRPr="00572B39">
          <w:rPr>
            <w:rStyle w:val="Hyperlink"/>
            <w:rFonts w:ascii="Arial" w:eastAsiaTheme="minorHAnsi" w:hAnsi="Arial" w:cs="Arial"/>
            <w:noProof/>
          </w:rPr>
          <w:t>9.2 Gross State Product</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_Toc194938479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13</w:t>
        </w:r>
        <w:r w:rsidRPr="00572B39">
          <w:rPr>
            <w:rFonts w:ascii="Arial" w:hAnsi="Arial" w:cs="Arial"/>
            <w:noProof/>
            <w:webHidden/>
          </w:rPr>
          <w:fldChar w:fldCharType="end"/>
        </w:r>
      </w:hyperlink>
    </w:p>
    <w:p w14:paraId="43B9D77F" w14:textId="3BDFF956"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80" w:history="1">
        <w:r w:rsidRPr="00572B39">
          <w:rPr>
            <w:rStyle w:val="Hyperlink"/>
            <w:rFonts w:ascii="Arial" w:hAnsi="Arial" w:cs="Arial"/>
            <w:noProof/>
          </w:rPr>
          <w:t>9.3 Filled jobs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_Toc194938480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14</w:t>
        </w:r>
        <w:r w:rsidRPr="00572B39">
          <w:rPr>
            <w:rFonts w:ascii="Arial" w:hAnsi="Arial" w:cs="Arial"/>
            <w:noProof/>
            <w:webHidden/>
          </w:rPr>
          <w:fldChar w:fldCharType="end"/>
        </w:r>
      </w:hyperlink>
    </w:p>
    <w:p w14:paraId="4B8D0A63" w14:textId="6288E3D8"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81" w:history="1">
        <w:r w:rsidRPr="00572B39">
          <w:rPr>
            <w:rStyle w:val="Hyperlink"/>
            <w:rFonts w:ascii="Arial" w:hAnsi="Arial" w:cs="Arial"/>
            <w:noProof/>
          </w:rPr>
          <w:t>9.4 State comparisons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_Toc194938481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15</w:t>
        </w:r>
        <w:r w:rsidRPr="00572B39">
          <w:rPr>
            <w:rFonts w:ascii="Arial" w:hAnsi="Arial" w:cs="Arial"/>
            <w:noProof/>
            <w:webHidden/>
          </w:rPr>
          <w:fldChar w:fldCharType="end"/>
        </w:r>
      </w:hyperlink>
    </w:p>
    <w:p w14:paraId="7CD45D57" w14:textId="65B0C14B"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82" w:history="1">
        <w:r w:rsidRPr="00572B39">
          <w:rPr>
            <w:rStyle w:val="Hyperlink"/>
            <w:rFonts w:ascii="Arial" w:eastAsiaTheme="minorHAnsi" w:hAnsi="Arial" w:cs="Arial"/>
            <w:noProof/>
          </w:rPr>
          <w:t>9.5 Industry comparisons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_Toc194938482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16</w:t>
        </w:r>
        <w:r w:rsidRPr="00572B39">
          <w:rPr>
            <w:rFonts w:ascii="Arial" w:hAnsi="Arial" w:cs="Arial"/>
            <w:noProof/>
            <w:webHidden/>
          </w:rPr>
          <w:fldChar w:fldCharType="end"/>
        </w:r>
      </w:hyperlink>
    </w:p>
    <w:p w14:paraId="7A0DC997" w14:textId="55C68826"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83" w:history="1">
        <w:r w:rsidRPr="00572B39">
          <w:rPr>
            <w:rStyle w:val="Hyperlink"/>
            <w:rFonts w:ascii="Arial" w:eastAsiaTheme="minorHAnsi" w:hAnsi="Arial" w:cs="Arial"/>
            <w:noProof/>
          </w:rPr>
          <w:t>9.6 Full time and part time jobs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_Toc194938483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19</w:t>
        </w:r>
        <w:r w:rsidRPr="00572B39">
          <w:rPr>
            <w:rFonts w:ascii="Arial" w:hAnsi="Arial" w:cs="Arial"/>
            <w:noProof/>
            <w:webHidden/>
          </w:rPr>
          <w:fldChar w:fldCharType="end"/>
        </w:r>
      </w:hyperlink>
    </w:p>
    <w:p w14:paraId="7DFB90C6" w14:textId="19FCE488" w:rsidR="00572B39" w:rsidRPr="00572B39" w:rsidRDefault="00572B39">
      <w:pPr>
        <w:pStyle w:val="TOC1"/>
        <w:rPr>
          <w:rFonts w:ascii="Arial" w:hAnsi="Arial" w:cs="Arial"/>
          <w:noProof/>
          <w:kern w:val="2"/>
          <w:sz w:val="24"/>
          <w:szCs w:val="24"/>
          <w:lang w:eastAsia="en-AU"/>
          <w14:ligatures w14:val="standardContextual"/>
        </w:rPr>
      </w:pPr>
      <w:hyperlink w:anchor="_Toc194938484" w:history="1">
        <w:r w:rsidRPr="00572B39">
          <w:rPr>
            <w:rStyle w:val="Hyperlink"/>
            <w:rFonts w:ascii="Arial" w:hAnsi="Arial" w:cs="Arial"/>
            <w:noProof/>
          </w:rPr>
          <w:t>10. Methodology and data notes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_Toc194938484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20</w:t>
        </w:r>
        <w:r w:rsidRPr="00572B39">
          <w:rPr>
            <w:rFonts w:ascii="Arial" w:hAnsi="Arial" w:cs="Arial"/>
            <w:noProof/>
            <w:webHidden/>
          </w:rPr>
          <w:fldChar w:fldCharType="end"/>
        </w:r>
      </w:hyperlink>
    </w:p>
    <w:p w14:paraId="36EE03ED" w14:textId="5DF2B5C1"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85" w:history="1">
        <w:r w:rsidRPr="00572B39">
          <w:rPr>
            <w:rStyle w:val="Hyperlink"/>
            <w:rFonts w:ascii="Arial" w:hAnsi="Arial" w:cs="Arial"/>
            <w:noProof/>
          </w:rPr>
          <w:t>10.1 Background</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_Toc194938485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20</w:t>
        </w:r>
        <w:r w:rsidRPr="00572B39">
          <w:rPr>
            <w:rFonts w:ascii="Arial" w:hAnsi="Arial" w:cs="Arial"/>
            <w:noProof/>
            <w:webHidden/>
          </w:rPr>
          <w:fldChar w:fldCharType="end"/>
        </w:r>
      </w:hyperlink>
    </w:p>
    <w:p w14:paraId="641968A6" w14:textId="3D137C85"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86" w:history="1">
        <w:r w:rsidRPr="00572B39">
          <w:rPr>
            <w:rStyle w:val="Hyperlink"/>
            <w:rFonts w:ascii="Arial" w:hAnsi="Arial" w:cs="Arial"/>
            <w:noProof/>
          </w:rPr>
          <w:t>10.2 Data notes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_Toc194938486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20</w:t>
        </w:r>
        <w:r w:rsidRPr="00572B39">
          <w:rPr>
            <w:rFonts w:ascii="Arial" w:hAnsi="Arial" w:cs="Arial"/>
            <w:noProof/>
            <w:webHidden/>
          </w:rPr>
          <w:fldChar w:fldCharType="end"/>
        </w:r>
      </w:hyperlink>
    </w:p>
    <w:p w14:paraId="3DD08212" w14:textId="7A85F18C" w:rsidR="00572B39" w:rsidRPr="00572B39" w:rsidRDefault="00572B39">
      <w:pPr>
        <w:pStyle w:val="TOC2"/>
        <w:tabs>
          <w:tab w:val="right" w:leader="dot" w:pos="9629"/>
        </w:tabs>
        <w:rPr>
          <w:rFonts w:ascii="Arial" w:hAnsi="Arial" w:cs="Arial"/>
          <w:noProof/>
          <w:kern w:val="2"/>
          <w:sz w:val="24"/>
          <w:szCs w:val="24"/>
          <w:lang w:eastAsia="en-AU"/>
          <w14:ligatures w14:val="standardContextual"/>
        </w:rPr>
      </w:pPr>
      <w:hyperlink w:anchor="_Toc194938487" w:history="1">
        <w:r w:rsidRPr="00572B39">
          <w:rPr>
            <w:rStyle w:val="Hyperlink"/>
            <w:rFonts w:ascii="Arial" w:hAnsi="Arial" w:cs="Arial"/>
            <w:noProof/>
          </w:rPr>
          <w:t>10.3 Definitions and notes</w:t>
        </w:r>
        <w:r w:rsidRPr="00572B39">
          <w:rPr>
            <w:rFonts w:ascii="Arial" w:hAnsi="Arial" w:cs="Arial"/>
            <w:noProof/>
            <w:webHidden/>
          </w:rPr>
          <w:tab/>
        </w:r>
        <w:r w:rsidRPr="00572B39">
          <w:rPr>
            <w:rFonts w:ascii="Arial" w:hAnsi="Arial" w:cs="Arial"/>
            <w:noProof/>
            <w:webHidden/>
          </w:rPr>
          <w:fldChar w:fldCharType="begin"/>
        </w:r>
        <w:r w:rsidRPr="00572B39">
          <w:rPr>
            <w:rFonts w:ascii="Arial" w:hAnsi="Arial" w:cs="Arial"/>
            <w:noProof/>
            <w:webHidden/>
          </w:rPr>
          <w:instrText xml:space="preserve"> PAGEREF _Toc194938487 \h </w:instrText>
        </w:r>
        <w:r w:rsidRPr="00572B39">
          <w:rPr>
            <w:rFonts w:ascii="Arial" w:hAnsi="Arial" w:cs="Arial"/>
            <w:noProof/>
            <w:webHidden/>
          </w:rPr>
        </w:r>
        <w:r w:rsidRPr="00572B39">
          <w:rPr>
            <w:rFonts w:ascii="Arial" w:hAnsi="Arial" w:cs="Arial"/>
            <w:noProof/>
            <w:webHidden/>
          </w:rPr>
          <w:fldChar w:fldCharType="separate"/>
        </w:r>
        <w:r w:rsidRPr="00572B39">
          <w:rPr>
            <w:rFonts w:ascii="Arial" w:hAnsi="Arial" w:cs="Arial"/>
            <w:noProof/>
            <w:webHidden/>
          </w:rPr>
          <w:t>21</w:t>
        </w:r>
        <w:r w:rsidRPr="00572B39">
          <w:rPr>
            <w:rFonts w:ascii="Arial" w:hAnsi="Arial" w:cs="Arial"/>
            <w:noProof/>
            <w:webHidden/>
          </w:rPr>
          <w:fldChar w:fldCharType="end"/>
        </w:r>
      </w:hyperlink>
    </w:p>
    <w:p w14:paraId="59D3C0D3" w14:textId="2829D4E0" w:rsidR="00002FD3" w:rsidRPr="00B82E1F" w:rsidRDefault="007546C9" w:rsidP="00C419DC">
      <w:pPr>
        <w:pStyle w:val="NoSpacing"/>
        <w:rPr>
          <w:rFonts w:ascii="Arial" w:hAnsi="Arial" w:cs="Arial"/>
        </w:rPr>
      </w:pPr>
      <w:r w:rsidRPr="00B82E1F">
        <w:rPr>
          <w:rFonts w:ascii="Arial" w:hAnsi="Arial" w:cs="Arial"/>
          <w:sz w:val="22"/>
          <w:szCs w:val="22"/>
        </w:rPr>
        <w:fldChar w:fldCharType="end"/>
      </w:r>
    </w:p>
    <w:p w14:paraId="74B21360" w14:textId="61A0CB8F" w:rsidR="008D2D0D" w:rsidRPr="00B82E1F" w:rsidRDefault="00F629C4" w:rsidP="00C419DC">
      <w:pPr>
        <w:pStyle w:val="Heading1"/>
        <w:rPr>
          <w:rFonts w:cs="Arial"/>
        </w:rPr>
      </w:pPr>
      <w:bookmarkStart w:id="19" w:name="_Toc194938455"/>
      <w:r w:rsidRPr="00B82E1F">
        <w:rPr>
          <w:rFonts w:cs="Arial"/>
        </w:rPr>
        <w:lastRenderedPageBreak/>
        <w:t xml:space="preserve">1. </w:t>
      </w:r>
      <w:r w:rsidR="008D2D0D" w:rsidRPr="00B82E1F">
        <w:rPr>
          <w:rFonts w:cs="Arial"/>
        </w:rPr>
        <w:t>Headline results for Victoria</w:t>
      </w:r>
      <w:bookmarkEnd w:id="19"/>
      <w:r w:rsidR="008D2D0D" w:rsidRPr="00B82E1F">
        <w:rPr>
          <w:rFonts w:cs="Arial"/>
        </w:rPr>
        <w:t xml:space="preserve"> </w:t>
      </w:r>
    </w:p>
    <w:p w14:paraId="00579FD1" w14:textId="77777777" w:rsidR="00AF7C41" w:rsidRPr="00B82E1F" w:rsidRDefault="00AF7C41">
      <w:pPr>
        <w:rPr>
          <w:rFonts w:ascii="Arial" w:hAnsi="Arial" w:cs="Arial"/>
          <w:sz w:val="8"/>
          <w:szCs w:val="8"/>
        </w:rPr>
      </w:pPr>
    </w:p>
    <w:p w14:paraId="0BDC26FD" w14:textId="26472891" w:rsidR="00AA78EE" w:rsidRPr="00934654" w:rsidRDefault="00AA78EE" w:rsidP="00572B39">
      <w:pPr>
        <w:pStyle w:val="ListParagraph"/>
        <w:numPr>
          <w:ilvl w:val="0"/>
          <w:numId w:val="7"/>
        </w:numPr>
        <w:rPr>
          <w:rFonts w:ascii="Arial" w:hAnsi="Arial" w:cs="Arial"/>
          <w:sz w:val="23"/>
          <w:szCs w:val="23"/>
        </w:rPr>
      </w:pPr>
      <w:r w:rsidRPr="00934654">
        <w:rPr>
          <w:rFonts w:ascii="Arial" w:hAnsi="Arial" w:cs="Arial"/>
          <w:sz w:val="23"/>
          <w:szCs w:val="23"/>
        </w:rPr>
        <w:t>Tourism in Victoria was estimated to be worth $36 billion to the economy in GSP and generated approximately 288,800</w:t>
      </w:r>
      <w:r w:rsidR="00185C29" w:rsidRPr="00934654">
        <w:rPr>
          <w:rFonts w:ascii="Arial" w:hAnsi="Arial" w:cs="Arial"/>
          <w:sz w:val="23"/>
          <w:szCs w:val="23"/>
        </w:rPr>
        <w:t xml:space="preserve"> filled jobs in 2023-24,</w:t>
      </w:r>
      <w:r w:rsidR="00F36284" w:rsidRPr="00934654">
        <w:rPr>
          <w:rFonts w:ascii="Arial" w:hAnsi="Arial" w:cs="Arial"/>
          <w:sz w:val="23"/>
          <w:szCs w:val="23"/>
        </w:rPr>
        <w:t xml:space="preserve"> both reaching record highs. These results highlight the strong rebound in tourism activity in 2023-24.</w:t>
      </w:r>
    </w:p>
    <w:p w14:paraId="4D82504E" w14:textId="3720A9EA" w:rsidR="009F327D" w:rsidRPr="00B82E1F" w:rsidRDefault="009F327D" w:rsidP="00AA78EE">
      <w:pPr>
        <w:pStyle w:val="Heading2"/>
        <w:spacing w:before="120" w:after="240"/>
        <w:rPr>
          <w:rFonts w:ascii="Arial" w:hAnsi="Arial" w:cs="Arial"/>
          <w:color w:val="002060"/>
        </w:rPr>
      </w:pPr>
      <w:bookmarkStart w:id="20" w:name="_Toc194938456"/>
      <w:r w:rsidRPr="00B82E1F">
        <w:rPr>
          <w:rFonts w:ascii="Arial" w:hAnsi="Arial" w:cs="Arial"/>
          <w:color w:val="002060"/>
        </w:rPr>
        <w:t>1.1 Data table: key results</w:t>
      </w:r>
      <w:bookmarkEnd w:id="20"/>
    </w:p>
    <w:tbl>
      <w:tblPr>
        <w:tblStyle w:val="TableGrid"/>
        <w:tblW w:w="9639" w:type="dxa"/>
        <w:tblInd w:w="-5" w:type="dxa"/>
        <w:tblLook w:val="04A0" w:firstRow="1" w:lastRow="0" w:firstColumn="1" w:lastColumn="0" w:noHBand="0" w:noVBand="1"/>
      </w:tblPr>
      <w:tblGrid>
        <w:gridCol w:w="2650"/>
        <w:gridCol w:w="1603"/>
        <w:gridCol w:w="2693"/>
        <w:gridCol w:w="2693"/>
      </w:tblGrid>
      <w:tr w:rsidR="00E44444" w:rsidRPr="00B82E1F" w14:paraId="1E94D7CB" w14:textId="42065CF8" w:rsidTr="00645532">
        <w:trPr>
          <w:trHeight w:val="428"/>
          <w:tblHeader/>
        </w:trPr>
        <w:tc>
          <w:tcPr>
            <w:tcW w:w="2650" w:type="dxa"/>
            <w:tcBorders>
              <w:bottom w:val="nil"/>
            </w:tcBorders>
            <w:shd w:val="clear" w:color="auto" w:fill="E7E6E6" w:themeFill="background2"/>
          </w:tcPr>
          <w:p w14:paraId="3DB67C5D" w14:textId="5E4EB5E0" w:rsidR="00E44444" w:rsidRPr="00B82E1F" w:rsidRDefault="00193506">
            <w:pPr>
              <w:rPr>
                <w:rFonts w:ascii="Arial" w:hAnsi="Arial" w:cs="Arial"/>
                <w:b/>
                <w:bCs/>
              </w:rPr>
            </w:pPr>
            <w:bookmarkStart w:id="21" w:name="Title_1" w:colFirst="0" w:colLast="0"/>
            <w:r w:rsidRPr="00B82E1F">
              <w:rPr>
                <w:rFonts w:ascii="Arial" w:hAnsi="Arial" w:cs="Arial"/>
                <w:b/>
                <w:bCs/>
              </w:rPr>
              <w:t>Measure</w:t>
            </w:r>
          </w:p>
        </w:tc>
        <w:tc>
          <w:tcPr>
            <w:tcW w:w="1603" w:type="dxa"/>
            <w:tcBorders>
              <w:bottom w:val="nil"/>
            </w:tcBorders>
            <w:shd w:val="clear" w:color="auto" w:fill="E7E6E6" w:themeFill="background2"/>
          </w:tcPr>
          <w:p w14:paraId="1CCDCF42" w14:textId="36C67565" w:rsidR="00E44444" w:rsidRPr="00B82E1F" w:rsidRDefault="00193506">
            <w:pPr>
              <w:rPr>
                <w:rFonts w:ascii="Arial" w:hAnsi="Arial" w:cs="Arial"/>
                <w:b/>
                <w:bCs/>
              </w:rPr>
            </w:pPr>
            <w:r w:rsidRPr="00B82E1F">
              <w:rPr>
                <w:rFonts w:ascii="Arial" w:hAnsi="Arial" w:cs="Arial"/>
                <w:b/>
                <w:bCs/>
              </w:rPr>
              <w:t>Result</w:t>
            </w:r>
          </w:p>
        </w:tc>
        <w:tc>
          <w:tcPr>
            <w:tcW w:w="2693" w:type="dxa"/>
            <w:tcBorders>
              <w:bottom w:val="nil"/>
            </w:tcBorders>
            <w:shd w:val="clear" w:color="auto" w:fill="E7E6E6" w:themeFill="background2"/>
          </w:tcPr>
          <w:p w14:paraId="2C4CD9BE" w14:textId="77B7CC07" w:rsidR="00E44444" w:rsidRPr="00B82E1F" w:rsidRDefault="00E44444">
            <w:pPr>
              <w:rPr>
                <w:rFonts w:ascii="Arial" w:hAnsi="Arial" w:cs="Arial"/>
                <w:b/>
                <w:bCs/>
              </w:rPr>
            </w:pPr>
            <w:r w:rsidRPr="00B82E1F">
              <w:rPr>
                <w:rFonts w:ascii="Arial" w:hAnsi="Arial" w:cs="Arial"/>
                <w:b/>
                <w:bCs/>
              </w:rPr>
              <w:t xml:space="preserve">Year </w:t>
            </w:r>
            <w:r w:rsidR="00333F69" w:rsidRPr="00B82E1F">
              <w:rPr>
                <w:rFonts w:ascii="Arial" w:hAnsi="Arial" w:cs="Arial"/>
                <w:b/>
                <w:bCs/>
              </w:rPr>
              <w:t>on</w:t>
            </w:r>
            <w:r w:rsidRPr="00B82E1F">
              <w:rPr>
                <w:rFonts w:ascii="Arial" w:hAnsi="Arial" w:cs="Arial"/>
                <w:b/>
                <w:bCs/>
              </w:rPr>
              <w:t xml:space="preserve"> </w:t>
            </w:r>
            <w:r w:rsidR="000761D2" w:rsidRPr="00B82E1F">
              <w:rPr>
                <w:rFonts w:ascii="Arial" w:hAnsi="Arial" w:cs="Arial"/>
                <w:b/>
                <w:bCs/>
              </w:rPr>
              <w:t>y</w:t>
            </w:r>
            <w:r w:rsidRPr="00B82E1F">
              <w:rPr>
                <w:rFonts w:ascii="Arial" w:hAnsi="Arial" w:cs="Arial"/>
                <w:b/>
                <w:bCs/>
              </w:rPr>
              <w:t>ear</w:t>
            </w:r>
            <w:r w:rsidR="000761D2" w:rsidRPr="00B82E1F">
              <w:rPr>
                <w:rFonts w:ascii="Arial" w:hAnsi="Arial" w:cs="Arial"/>
                <w:b/>
                <w:bCs/>
              </w:rPr>
              <w:t xml:space="preserve"> change</w:t>
            </w:r>
          </w:p>
        </w:tc>
        <w:tc>
          <w:tcPr>
            <w:tcW w:w="2693" w:type="dxa"/>
            <w:tcBorders>
              <w:bottom w:val="nil"/>
            </w:tcBorders>
            <w:shd w:val="clear" w:color="auto" w:fill="E7E6E6" w:themeFill="background2"/>
          </w:tcPr>
          <w:p w14:paraId="09296D8A" w14:textId="031D785F" w:rsidR="00E44444" w:rsidRPr="00B82E1F" w:rsidRDefault="00BD57F3">
            <w:pPr>
              <w:rPr>
                <w:rFonts w:ascii="Arial" w:hAnsi="Arial" w:cs="Arial"/>
                <w:b/>
                <w:bCs/>
              </w:rPr>
            </w:pPr>
            <w:r w:rsidRPr="00B82E1F">
              <w:rPr>
                <w:rFonts w:ascii="Arial" w:hAnsi="Arial" w:cs="Arial"/>
                <w:b/>
                <w:bCs/>
              </w:rPr>
              <w:t>Change fro</w:t>
            </w:r>
            <w:r w:rsidRPr="00934654">
              <w:rPr>
                <w:rFonts w:ascii="Arial" w:hAnsi="Arial" w:cs="Arial"/>
                <w:b/>
                <w:bCs/>
              </w:rPr>
              <w:t>m 2018-19</w:t>
            </w:r>
          </w:p>
        </w:tc>
      </w:tr>
      <w:bookmarkEnd w:id="21"/>
      <w:tr w:rsidR="00B262DC" w:rsidRPr="00B82E1F" w14:paraId="3F8AA911" w14:textId="6FE21CC7" w:rsidTr="00645532">
        <w:trPr>
          <w:trHeight w:val="597"/>
        </w:trPr>
        <w:tc>
          <w:tcPr>
            <w:tcW w:w="2650" w:type="dxa"/>
            <w:shd w:val="clear" w:color="auto" w:fill="E7E6E6" w:themeFill="background2"/>
          </w:tcPr>
          <w:p w14:paraId="79980314" w14:textId="28C8C81B" w:rsidR="00B262DC" w:rsidRPr="00B82E1F" w:rsidRDefault="00B262DC" w:rsidP="00B262DC">
            <w:pPr>
              <w:rPr>
                <w:rFonts w:ascii="Arial" w:hAnsi="Arial" w:cs="Arial"/>
                <w:b/>
                <w:bCs/>
              </w:rPr>
            </w:pPr>
            <w:r w:rsidRPr="00B82E1F">
              <w:rPr>
                <w:rFonts w:ascii="Arial" w:hAnsi="Arial" w:cs="Arial"/>
                <w:b/>
                <w:bCs/>
              </w:rPr>
              <w:t>Tourism Gross State Product (GSP)</w:t>
            </w:r>
          </w:p>
        </w:tc>
        <w:tc>
          <w:tcPr>
            <w:tcW w:w="1603" w:type="dxa"/>
          </w:tcPr>
          <w:p w14:paraId="57BB17BE" w14:textId="437B3E92" w:rsidR="00B262DC" w:rsidRPr="00934654" w:rsidRDefault="00B262DC" w:rsidP="00B262DC">
            <w:pPr>
              <w:rPr>
                <w:rFonts w:ascii="Arial" w:hAnsi="Arial" w:cs="Arial"/>
              </w:rPr>
            </w:pPr>
            <w:r w:rsidRPr="00934654">
              <w:rPr>
                <w:rFonts w:ascii="Arial" w:hAnsi="Arial" w:cs="Arial"/>
              </w:rPr>
              <w:t>$</w:t>
            </w:r>
            <w:r w:rsidR="00AA78EE" w:rsidRPr="00934654">
              <w:rPr>
                <w:rFonts w:ascii="Arial" w:hAnsi="Arial" w:cs="Arial"/>
              </w:rPr>
              <w:t>36</w:t>
            </w:r>
            <w:r w:rsidRPr="00934654">
              <w:rPr>
                <w:rFonts w:ascii="Arial" w:hAnsi="Arial" w:cs="Arial"/>
              </w:rPr>
              <w:t xml:space="preserve"> billion</w:t>
            </w:r>
          </w:p>
        </w:tc>
        <w:tc>
          <w:tcPr>
            <w:tcW w:w="2693" w:type="dxa"/>
          </w:tcPr>
          <w:p w14:paraId="3B478F4E" w14:textId="2997E111" w:rsidR="00B262DC" w:rsidRPr="00934654" w:rsidRDefault="00B262DC" w:rsidP="00B262DC">
            <w:pPr>
              <w:rPr>
                <w:rFonts w:ascii="Arial" w:hAnsi="Arial" w:cs="Arial"/>
              </w:rPr>
            </w:pPr>
            <w:r w:rsidRPr="00934654">
              <w:rPr>
                <w:rFonts w:ascii="Arial" w:hAnsi="Arial" w:cs="Arial"/>
              </w:rPr>
              <w:t xml:space="preserve">Increased </w:t>
            </w:r>
            <w:r w:rsidR="00AA78EE" w:rsidRPr="00934654">
              <w:rPr>
                <w:rFonts w:ascii="Arial" w:hAnsi="Arial" w:cs="Arial"/>
              </w:rPr>
              <w:t>13</w:t>
            </w:r>
            <w:r w:rsidRPr="00934654">
              <w:rPr>
                <w:rFonts w:ascii="Arial" w:hAnsi="Arial" w:cs="Arial"/>
              </w:rPr>
              <w:t xml:space="preserve">% compared to </w:t>
            </w:r>
            <w:r w:rsidR="001111CF" w:rsidRPr="00934654">
              <w:rPr>
                <w:rFonts w:ascii="Arial" w:hAnsi="Arial" w:cs="Arial"/>
              </w:rPr>
              <w:t>2022-23</w:t>
            </w:r>
            <w:r w:rsidRPr="00934654">
              <w:rPr>
                <w:rFonts w:ascii="Arial" w:hAnsi="Arial" w:cs="Arial"/>
              </w:rPr>
              <w:t xml:space="preserve"> financial year </w:t>
            </w:r>
          </w:p>
        </w:tc>
        <w:tc>
          <w:tcPr>
            <w:tcW w:w="2693" w:type="dxa"/>
          </w:tcPr>
          <w:p w14:paraId="5076EE03" w14:textId="500CF636" w:rsidR="00B262DC" w:rsidRPr="00934654" w:rsidRDefault="001111CF" w:rsidP="00B262DC">
            <w:pPr>
              <w:rPr>
                <w:rFonts w:ascii="Arial" w:hAnsi="Arial" w:cs="Arial"/>
              </w:rPr>
            </w:pPr>
            <w:r w:rsidRPr="00934654">
              <w:rPr>
                <w:rFonts w:ascii="Arial" w:hAnsi="Arial" w:cs="Arial"/>
              </w:rPr>
              <w:t>In</w:t>
            </w:r>
            <w:r w:rsidR="00B262DC" w:rsidRPr="00934654">
              <w:rPr>
                <w:rFonts w:ascii="Arial" w:hAnsi="Arial" w:cs="Arial"/>
              </w:rPr>
              <w:t xml:space="preserve">creased </w:t>
            </w:r>
            <w:r w:rsidRPr="00934654">
              <w:rPr>
                <w:rFonts w:ascii="Arial" w:hAnsi="Arial" w:cs="Arial"/>
              </w:rPr>
              <w:t>23</w:t>
            </w:r>
            <w:r w:rsidR="00B262DC" w:rsidRPr="00934654">
              <w:rPr>
                <w:rFonts w:ascii="Arial" w:hAnsi="Arial" w:cs="Arial"/>
              </w:rPr>
              <w:t xml:space="preserve">% compared to 2018-19 financial year </w:t>
            </w:r>
          </w:p>
        </w:tc>
      </w:tr>
      <w:tr w:rsidR="00B262DC" w:rsidRPr="00B82E1F" w14:paraId="41CA3BF1" w14:textId="7D95BC55" w:rsidTr="00645532">
        <w:trPr>
          <w:trHeight w:val="691"/>
        </w:trPr>
        <w:tc>
          <w:tcPr>
            <w:tcW w:w="2650" w:type="dxa"/>
            <w:shd w:val="clear" w:color="auto" w:fill="E7E6E6" w:themeFill="background2"/>
          </w:tcPr>
          <w:p w14:paraId="4584D13C" w14:textId="2A828821" w:rsidR="00B262DC" w:rsidRPr="00B82E1F" w:rsidRDefault="00B262DC" w:rsidP="00B262DC">
            <w:pPr>
              <w:rPr>
                <w:rFonts w:ascii="Arial" w:hAnsi="Arial" w:cs="Arial"/>
                <w:b/>
                <w:bCs/>
              </w:rPr>
            </w:pPr>
            <w:r w:rsidRPr="00B82E1F">
              <w:rPr>
                <w:rFonts w:ascii="Arial" w:hAnsi="Arial" w:cs="Arial"/>
                <w:b/>
                <w:bCs/>
              </w:rPr>
              <w:t>Tourism Filled Jobs</w:t>
            </w:r>
          </w:p>
        </w:tc>
        <w:tc>
          <w:tcPr>
            <w:tcW w:w="1603" w:type="dxa"/>
          </w:tcPr>
          <w:p w14:paraId="135BBF65" w14:textId="4B9CAF21" w:rsidR="00B262DC" w:rsidRPr="00934654" w:rsidRDefault="00BD57F3" w:rsidP="00B262DC">
            <w:pPr>
              <w:rPr>
                <w:rFonts w:ascii="Arial" w:hAnsi="Arial" w:cs="Arial"/>
              </w:rPr>
            </w:pPr>
            <w:r w:rsidRPr="00934654">
              <w:rPr>
                <w:rFonts w:ascii="Arial" w:hAnsi="Arial" w:cs="Arial"/>
              </w:rPr>
              <w:t>2</w:t>
            </w:r>
            <w:r w:rsidR="001111CF" w:rsidRPr="00934654">
              <w:rPr>
                <w:rFonts w:ascii="Arial" w:hAnsi="Arial" w:cs="Arial"/>
              </w:rPr>
              <w:t>88</w:t>
            </w:r>
            <w:r w:rsidR="00B262DC" w:rsidRPr="00934654">
              <w:rPr>
                <w:rFonts w:ascii="Arial" w:hAnsi="Arial" w:cs="Arial"/>
              </w:rPr>
              <w:t>,</w:t>
            </w:r>
            <w:r w:rsidR="001111CF" w:rsidRPr="00934654">
              <w:rPr>
                <w:rFonts w:ascii="Arial" w:hAnsi="Arial" w:cs="Arial"/>
              </w:rPr>
              <w:t>8</w:t>
            </w:r>
            <w:r w:rsidR="00B262DC" w:rsidRPr="00934654">
              <w:rPr>
                <w:rFonts w:ascii="Arial" w:hAnsi="Arial" w:cs="Arial"/>
              </w:rPr>
              <w:t>00</w:t>
            </w:r>
          </w:p>
        </w:tc>
        <w:tc>
          <w:tcPr>
            <w:tcW w:w="2693" w:type="dxa"/>
          </w:tcPr>
          <w:p w14:paraId="261411DA" w14:textId="4D7CE1C2" w:rsidR="00B262DC" w:rsidRPr="00934654" w:rsidRDefault="00B262DC" w:rsidP="00B262DC">
            <w:pPr>
              <w:rPr>
                <w:rFonts w:ascii="Arial" w:hAnsi="Arial" w:cs="Arial"/>
              </w:rPr>
            </w:pPr>
            <w:r w:rsidRPr="00934654">
              <w:rPr>
                <w:rFonts w:ascii="Arial" w:hAnsi="Arial" w:cs="Arial"/>
              </w:rPr>
              <w:t xml:space="preserve">Increased </w:t>
            </w:r>
            <w:r w:rsidR="001111CF" w:rsidRPr="00934654">
              <w:rPr>
                <w:rFonts w:ascii="Arial" w:hAnsi="Arial" w:cs="Arial"/>
              </w:rPr>
              <w:t>8</w:t>
            </w:r>
            <w:r w:rsidRPr="00934654">
              <w:rPr>
                <w:rFonts w:ascii="Arial" w:hAnsi="Arial" w:cs="Arial"/>
              </w:rPr>
              <w:t xml:space="preserve">% compared to </w:t>
            </w:r>
            <w:r w:rsidR="001111CF" w:rsidRPr="00934654">
              <w:rPr>
                <w:rFonts w:ascii="Arial" w:hAnsi="Arial" w:cs="Arial"/>
              </w:rPr>
              <w:t>2022-23</w:t>
            </w:r>
            <w:r w:rsidRPr="00934654">
              <w:rPr>
                <w:rFonts w:ascii="Arial" w:hAnsi="Arial" w:cs="Arial"/>
              </w:rPr>
              <w:t xml:space="preserve"> financial year</w:t>
            </w:r>
          </w:p>
        </w:tc>
        <w:tc>
          <w:tcPr>
            <w:tcW w:w="2693" w:type="dxa"/>
          </w:tcPr>
          <w:p w14:paraId="74670183" w14:textId="477242C8" w:rsidR="00B262DC" w:rsidRPr="00934654" w:rsidRDefault="001111CF" w:rsidP="00B262DC">
            <w:pPr>
              <w:rPr>
                <w:rFonts w:ascii="Arial" w:hAnsi="Arial" w:cs="Arial"/>
              </w:rPr>
            </w:pPr>
            <w:r w:rsidRPr="00934654">
              <w:rPr>
                <w:rFonts w:ascii="Arial" w:hAnsi="Arial" w:cs="Arial"/>
              </w:rPr>
              <w:t>In</w:t>
            </w:r>
            <w:r w:rsidR="00B262DC" w:rsidRPr="00934654">
              <w:rPr>
                <w:rFonts w:ascii="Arial" w:hAnsi="Arial" w:cs="Arial"/>
              </w:rPr>
              <w:t xml:space="preserve">creased </w:t>
            </w:r>
            <w:r w:rsidRPr="00934654">
              <w:rPr>
                <w:rFonts w:ascii="Arial" w:hAnsi="Arial" w:cs="Arial"/>
              </w:rPr>
              <w:t>10</w:t>
            </w:r>
            <w:r w:rsidR="00B262DC" w:rsidRPr="00934654">
              <w:rPr>
                <w:rFonts w:ascii="Arial" w:hAnsi="Arial" w:cs="Arial"/>
              </w:rPr>
              <w:t xml:space="preserve">% compared to 2018-19 financial year </w:t>
            </w:r>
          </w:p>
        </w:tc>
      </w:tr>
      <w:tr w:rsidR="00B262DC" w:rsidRPr="00B82E1F" w14:paraId="2D455D52" w14:textId="77777777" w:rsidTr="00645532">
        <w:trPr>
          <w:trHeight w:val="610"/>
        </w:trPr>
        <w:tc>
          <w:tcPr>
            <w:tcW w:w="2650" w:type="dxa"/>
            <w:shd w:val="clear" w:color="auto" w:fill="E7E6E6" w:themeFill="background2"/>
          </w:tcPr>
          <w:p w14:paraId="0B26D8FF" w14:textId="32D2752A" w:rsidR="00B262DC" w:rsidRPr="00B82E1F" w:rsidRDefault="00B262DC" w:rsidP="00B262DC">
            <w:pPr>
              <w:rPr>
                <w:rFonts w:ascii="Arial" w:hAnsi="Arial" w:cs="Arial"/>
                <w:b/>
                <w:bCs/>
              </w:rPr>
            </w:pPr>
            <w:r w:rsidRPr="00B82E1F">
              <w:rPr>
                <w:rFonts w:ascii="Arial" w:hAnsi="Arial" w:cs="Arial"/>
                <w:b/>
                <w:bCs/>
              </w:rPr>
              <w:t>Tourism Gross Value Added (GVA)</w:t>
            </w:r>
          </w:p>
        </w:tc>
        <w:tc>
          <w:tcPr>
            <w:tcW w:w="1603" w:type="dxa"/>
          </w:tcPr>
          <w:p w14:paraId="6C5F67CE" w14:textId="53A7D149" w:rsidR="00B262DC" w:rsidRPr="00934654" w:rsidRDefault="00B262DC" w:rsidP="00B262DC">
            <w:pPr>
              <w:rPr>
                <w:rFonts w:ascii="Arial" w:hAnsi="Arial" w:cs="Arial"/>
              </w:rPr>
            </w:pPr>
            <w:r w:rsidRPr="00934654">
              <w:rPr>
                <w:rFonts w:ascii="Arial" w:hAnsi="Arial" w:cs="Arial"/>
              </w:rPr>
              <w:t>$</w:t>
            </w:r>
            <w:r w:rsidR="001111CF" w:rsidRPr="00934654">
              <w:rPr>
                <w:rFonts w:ascii="Arial" w:hAnsi="Arial" w:cs="Arial"/>
              </w:rPr>
              <w:t>31.3</w:t>
            </w:r>
            <w:r w:rsidRPr="00934654">
              <w:rPr>
                <w:rFonts w:ascii="Arial" w:hAnsi="Arial" w:cs="Arial"/>
              </w:rPr>
              <w:t xml:space="preserve"> billion</w:t>
            </w:r>
          </w:p>
        </w:tc>
        <w:tc>
          <w:tcPr>
            <w:tcW w:w="2693" w:type="dxa"/>
          </w:tcPr>
          <w:p w14:paraId="231E3A61" w14:textId="5B6EF398" w:rsidR="00B262DC" w:rsidRPr="00934654" w:rsidRDefault="00B262DC" w:rsidP="00B262DC">
            <w:pPr>
              <w:rPr>
                <w:rFonts w:ascii="Arial" w:hAnsi="Arial" w:cs="Arial"/>
              </w:rPr>
            </w:pPr>
            <w:r w:rsidRPr="00934654">
              <w:rPr>
                <w:rFonts w:ascii="Arial" w:hAnsi="Arial" w:cs="Arial"/>
              </w:rPr>
              <w:t xml:space="preserve">Increased </w:t>
            </w:r>
            <w:r w:rsidR="001111CF" w:rsidRPr="00934654">
              <w:rPr>
                <w:rFonts w:ascii="Arial" w:hAnsi="Arial" w:cs="Arial"/>
              </w:rPr>
              <w:t>12</w:t>
            </w:r>
            <w:r w:rsidRPr="00934654">
              <w:rPr>
                <w:rFonts w:ascii="Arial" w:hAnsi="Arial" w:cs="Arial"/>
              </w:rPr>
              <w:t xml:space="preserve">% compared to </w:t>
            </w:r>
            <w:r w:rsidR="001111CF" w:rsidRPr="00934654">
              <w:rPr>
                <w:rFonts w:ascii="Arial" w:hAnsi="Arial" w:cs="Arial"/>
              </w:rPr>
              <w:t>2022-23</w:t>
            </w:r>
            <w:r w:rsidRPr="00934654">
              <w:rPr>
                <w:rFonts w:ascii="Arial" w:hAnsi="Arial" w:cs="Arial"/>
              </w:rPr>
              <w:t xml:space="preserve"> financial year</w:t>
            </w:r>
          </w:p>
        </w:tc>
        <w:tc>
          <w:tcPr>
            <w:tcW w:w="2693" w:type="dxa"/>
          </w:tcPr>
          <w:p w14:paraId="59B26E7B" w14:textId="711C5AA2" w:rsidR="00B262DC" w:rsidRPr="00934654" w:rsidRDefault="001111CF" w:rsidP="00B262DC">
            <w:pPr>
              <w:rPr>
                <w:rFonts w:ascii="Arial" w:hAnsi="Arial" w:cs="Arial"/>
              </w:rPr>
            </w:pPr>
            <w:r w:rsidRPr="00934654">
              <w:rPr>
                <w:rFonts w:ascii="Arial" w:hAnsi="Arial" w:cs="Arial"/>
              </w:rPr>
              <w:t>In</w:t>
            </w:r>
            <w:r w:rsidR="00B262DC" w:rsidRPr="00934654">
              <w:rPr>
                <w:rFonts w:ascii="Arial" w:hAnsi="Arial" w:cs="Arial"/>
              </w:rPr>
              <w:t xml:space="preserve">creased </w:t>
            </w:r>
            <w:r w:rsidRPr="00934654">
              <w:rPr>
                <w:rFonts w:ascii="Arial" w:hAnsi="Arial" w:cs="Arial"/>
              </w:rPr>
              <w:t>21</w:t>
            </w:r>
            <w:r w:rsidR="00B262DC" w:rsidRPr="00934654">
              <w:rPr>
                <w:rFonts w:ascii="Arial" w:hAnsi="Arial" w:cs="Arial"/>
              </w:rPr>
              <w:t xml:space="preserve">% compared to 2018-19 financial year </w:t>
            </w:r>
          </w:p>
        </w:tc>
      </w:tr>
    </w:tbl>
    <w:p w14:paraId="1B43341A" w14:textId="475E2B80" w:rsidR="009564DE" w:rsidRPr="00B82E1F" w:rsidRDefault="00D75C1E" w:rsidP="003174F1">
      <w:pPr>
        <w:rPr>
          <w:rFonts w:ascii="Arial" w:hAnsi="Arial" w:cs="Arial"/>
          <w:sz w:val="4"/>
          <w:szCs w:val="4"/>
        </w:rPr>
      </w:pPr>
      <w:r w:rsidRPr="00B82E1F">
        <w:rPr>
          <w:rFonts w:ascii="Arial" w:hAnsi="Arial" w:cs="Arial"/>
        </w:rPr>
        <w:t xml:space="preserve"> </w:t>
      </w:r>
    </w:p>
    <w:p w14:paraId="41919BF6" w14:textId="4CE793BD" w:rsidR="00A83BE5" w:rsidRPr="00B82E1F" w:rsidRDefault="00F629C4" w:rsidP="00A83BE5">
      <w:pPr>
        <w:pStyle w:val="Heading1"/>
        <w:rPr>
          <w:rFonts w:cs="Arial"/>
        </w:rPr>
      </w:pPr>
      <w:bookmarkStart w:id="22" w:name="_Toc194938457"/>
      <w:r w:rsidRPr="00B82E1F">
        <w:rPr>
          <w:rFonts w:cs="Arial"/>
        </w:rPr>
        <w:t xml:space="preserve">2. </w:t>
      </w:r>
      <w:r w:rsidR="00A83BE5" w:rsidRPr="00B82E1F">
        <w:rPr>
          <w:rFonts w:cs="Arial"/>
        </w:rPr>
        <w:t>Summary</w:t>
      </w:r>
      <w:bookmarkEnd w:id="22"/>
      <w:r w:rsidR="000B7918" w:rsidRPr="00B82E1F">
        <w:rPr>
          <w:rFonts w:cs="Arial"/>
        </w:rPr>
        <w:t xml:space="preserve"> </w:t>
      </w:r>
    </w:p>
    <w:p w14:paraId="7D5F44BA" w14:textId="77777777" w:rsidR="00AF7C41" w:rsidRPr="00B82E1F" w:rsidRDefault="00AF7C41" w:rsidP="00AF7C41">
      <w:pPr>
        <w:rPr>
          <w:sz w:val="8"/>
          <w:szCs w:val="8"/>
        </w:rPr>
      </w:pPr>
    </w:p>
    <w:p w14:paraId="29348F80" w14:textId="13A9D2DD" w:rsidR="003F6607" w:rsidRPr="00934654" w:rsidRDefault="003F6607" w:rsidP="003F6607">
      <w:pPr>
        <w:pStyle w:val="ListParagraph"/>
        <w:numPr>
          <w:ilvl w:val="0"/>
          <w:numId w:val="7"/>
        </w:numPr>
        <w:rPr>
          <w:rFonts w:ascii="Arial" w:hAnsi="Arial" w:cs="Arial"/>
          <w:sz w:val="23"/>
          <w:szCs w:val="23"/>
        </w:rPr>
      </w:pPr>
      <w:r w:rsidRPr="00934654">
        <w:rPr>
          <w:rFonts w:ascii="Arial" w:hAnsi="Arial" w:cs="Arial"/>
          <w:sz w:val="23"/>
          <w:szCs w:val="23"/>
        </w:rPr>
        <w:t>Victoria's tourism sector has reached record highs across key economic measures in 2023-24, reflecting a strong rebound in tourism activity driven by pent-up travel demand. Tourism is an important driver of economic growth and job creation and outpaced growth in the Victorian economy overall from 2022-23, reinforcing its vital role in the state’s economic prosperity.</w:t>
      </w:r>
    </w:p>
    <w:p w14:paraId="1763B6C5" w14:textId="36114BBD" w:rsidR="003F6607" w:rsidRPr="00934654" w:rsidRDefault="003F6607" w:rsidP="003F6607">
      <w:pPr>
        <w:pStyle w:val="ListParagraph"/>
        <w:numPr>
          <w:ilvl w:val="0"/>
          <w:numId w:val="7"/>
        </w:numPr>
        <w:rPr>
          <w:rFonts w:ascii="Arial" w:hAnsi="Arial" w:cs="Arial"/>
          <w:sz w:val="23"/>
          <w:szCs w:val="23"/>
        </w:rPr>
      </w:pPr>
      <w:r w:rsidRPr="00934654">
        <w:rPr>
          <w:rFonts w:ascii="Arial" w:hAnsi="Arial" w:cs="Arial"/>
          <w:sz w:val="23"/>
          <w:szCs w:val="23"/>
        </w:rPr>
        <w:t xml:space="preserve">Tourism's contribution (directly and indirectly) to Gross State Product (GSP) hit a record peak of $36 billion up 13% from 2022-23, while tourism-filled jobs also reached a new high of 288,800, with an 8% increase. These figures also surpassed pre-pandemic levels from 2018-19, with tourism GSP up 23% and filled jobs up 10%. </w:t>
      </w:r>
    </w:p>
    <w:p w14:paraId="3708901E" w14:textId="51C54137" w:rsidR="003F6607" w:rsidRPr="00934654" w:rsidRDefault="003F6607" w:rsidP="003F6607">
      <w:pPr>
        <w:pStyle w:val="ListParagraph"/>
        <w:numPr>
          <w:ilvl w:val="0"/>
          <w:numId w:val="7"/>
        </w:numPr>
        <w:rPr>
          <w:rFonts w:ascii="Arial" w:hAnsi="Arial" w:cs="Arial"/>
          <w:sz w:val="23"/>
          <w:szCs w:val="23"/>
        </w:rPr>
      </w:pPr>
      <w:r w:rsidRPr="00934654">
        <w:rPr>
          <w:rFonts w:ascii="Arial" w:hAnsi="Arial" w:cs="Arial"/>
          <w:sz w:val="23"/>
          <w:szCs w:val="23"/>
        </w:rPr>
        <w:t>These results reinforce Victoria's tourism sector's strong performance in recent years, which reached a record-breaking $40 billion in tourism expenditure in the year ending December 2024.</w:t>
      </w:r>
    </w:p>
    <w:p w14:paraId="7811348D" w14:textId="369C79D9" w:rsidR="003F6607" w:rsidRPr="00934654" w:rsidRDefault="003F6607" w:rsidP="003F6607">
      <w:pPr>
        <w:pStyle w:val="ListParagraph"/>
        <w:numPr>
          <w:ilvl w:val="0"/>
          <w:numId w:val="7"/>
        </w:numPr>
        <w:rPr>
          <w:rFonts w:ascii="Arial" w:hAnsi="Arial" w:cs="Arial"/>
          <w:sz w:val="23"/>
          <w:szCs w:val="23"/>
        </w:rPr>
      </w:pPr>
      <w:r w:rsidRPr="00934654">
        <w:rPr>
          <w:rFonts w:ascii="Arial" w:hAnsi="Arial" w:cs="Arial"/>
          <w:sz w:val="23"/>
          <w:szCs w:val="23"/>
        </w:rPr>
        <w:t>Tourism GSP grew by 13% in 2023–24, outpacing Victoria’s overall growth in GSP of 6%, underscoring tourism’s significant role in supporting the state’s economic progress.</w:t>
      </w:r>
    </w:p>
    <w:p w14:paraId="48D6C061" w14:textId="4E099374" w:rsidR="003F6607" w:rsidRPr="00934654" w:rsidRDefault="003F6607" w:rsidP="003F6607">
      <w:pPr>
        <w:pStyle w:val="ListParagraph"/>
        <w:numPr>
          <w:ilvl w:val="0"/>
          <w:numId w:val="7"/>
        </w:numPr>
        <w:rPr>
          <w:rFonts w:ascii="Arial" w:hAnsi="Arial" w:cs="Arial"/>
          <w:sz w:val="23"/>
          <w:szCs w:val="23"/>
        </w:rPr>
      </w:pPr>
      <w:r w:rsidRPr="00934654">
        <w:rPr>
          <w:rFonts w:ascii="Arial" w:hAnsi="Arial" w:cs="Arial"/>
          <w:sz w:val="23"/>
          <w:szCs w:val="23"/>
        </w:rPr>
        <w:t>The increase in tourism GSP in Victoria from 2022-23 to 2023-24 (+13%), was above the national growth rate (+10%) and Queensland (+6%), and was on par with New South Wales (+13%).</w:t>
      </w:r>
    </w:p>
    <w:p w14:paraId="043383DC" w14:textId="1864B7BC" w:rsidR="003F6607" w:rsidRPr="00934654" w:rsidRDefault="003F6607" w:rsidP="00FC6345">
      <w:pPr>
        <w:pStyle w:val="ListParagraph"/>
        <w:numPr>
          <w:ilvl w:val="0"/>
          <w:numId w:val="7"/>
        </w:numPr>
        <w:rPr>
          <w:rFonts w:ascii="Arial" w:hAnsi="Arial" w:cs="Arial"/>
          <w:sz w:val="23"/>
          <w:szCs w:val="23"/>
        </w:rPr>
      </w:pPr>
      <w:r w:rsidRPr="00934654">
        <w:rPr>
          <w:rFonts w:ascii="Arial" w:hAnsi="Arial" w:cs="Arial"/>
          <w:sz w:val="23"/>
          <w:szCs w:val="23"/>
        </w:rPr>
        <w:t>Tourism’s overall contribution to Victorian GSP has regained share, up from 5.6% in 2022-23 to 5.9% in 2023-24, reflecting its growing importance in the economy. However, this remains below the 2018-19 share of 6.3%.</w:t>
      </w:r>
    </w:p>
    <w:p w14:paraId="535AD36F" w14:textId="4B681F69" w:rsidR="003F6607" w:rsidRPr="00934654" w:rsidRDefault="003F6607" w:rsidP="003A489E">
      <w:pPr>
        <w:pStyle w:val="ListParagraph"/>
        <w:numPr>
          <w:ilvl w:val="0"/>
          <w:numId w:val="7"/>
        </w:numPr>
        <w:rPr>
          <w:rFonts w:ascii="Arial" w:hAnsi="Arial" w:cs="Arial"/>
          <w:sz w:val="23"/>
          <w:szCs w:val="23"/>
        </w:rPr>
      </w:pPr>
      <w:r w:rsidRPr="00934654">
        <w:rPr>
          <w:rFonts w:ascii="Arial" w:hAnsi="Arial" w:cs="Arial"/>
          <w:sz w:val="23"/>
          <w:szCs w:val="23"/>
        </w:rPr>
        <w:t>Victoria noted growth in tourism-filled jobs from 2022-23 of 8% which was above the national result (+6%) and Queensland (+3%), although slightly below the growth rate of New South Wales (+9%).</w:t>
      </w:r>
    </w:p>
    <w:p w14:paraId="41C9599F" w14:textId="6D0F79A4" w:rsidR="003F6607" w:rsidRPr="00934654" w:rsidRDefault="003F6607" w:rsidP="003F6607">
      <w:pPr>
        <w:pStyle w:val="ListParagraph"/>
        <w:numPr>
          <w:ilvl w:val="0"/>
          <w:numId w:val="7"/>
        </w:numPr>
        <w:rPr>
          <w:rFonts w:ascii="Arial" w:hAnsi="Arial" w:cs="Arial"/>
          <w:sz w:val="23"/>
          <w:szCs w:val="23"/>
        </w:rPr>
      </w:pPr>
      <w:r w:rsidRPr="00934654">
        <w:rPr>
          <w:rFonts w:ascii="Arial" w:hAnsi="Arial" w:cs="Arial"/>
          <w:sz w:val="23"/>
          <w:szCs w:val="23"/>
        </w:rPr>
        <w:t>Tourism job growth (+8%) outpaced overall filled jobs growth in Victoria (+3%) from 2022–23, reinforcing tourism's vital role as a key driver of job creation in the state.</w:t>
      </w:r>
    </w:p>
    <w:p w14:paraId="4FE646DA" w14:textId="77777777" w:rsidR="00590C5F" w:rsidRPr="00934654" w:rsidRDefault="00590C5F" w:rsidP="00590C5F">
      <w:pPr>
        <w:pStyle w:val="ListParagraph"/>
        <w:numPr>
          <w:ilvl w:val="0"/>
          <w:numId w:val="7"/>
        </w:numPr>
        <w:rPr>
          <w:rFonts w:ascii="Arial" w:hAnsi="Arial" w:cs="Arial"/>
          <w:sz w:val="23"/>
          <w:szCs w:val="23"/>
        </w:rPr>
      </w:pPr>
      <w:r w:rsidRPr="00934654">
        <w:rPr>
          <w:rFonts w:ascii="Arial" w:hAnsi="Arial" w:cs="Arial"/>
          <w:sz w:val="23"/>
          <w:szCs w:val="23"/>
        </w:rPr>
        <w:lastRenderedPageBreak/>
        <w:t>Tourism’s contribution to filled jobs in Victoria increased from 6.7% in 2022-23 to 7.1% in 2023-24, however was below the 2018-19 result of 7.4%.</w:t>
      </w:r>
    </w:p>
    <w:p w14:paraId="024ED99B" w14:textId="5FB96193" w:rsidR="00590C5F" w:rsidRPr="00934654" w:rsidRDefault="00590C5F" w:rsidP="00590C5F">
      <w:pPr>
        <w:pStyle w:val="ListParagraph"/>
        <w:numPr>
          <w:ilvl w:val="0"/>
          <w:numId w:val="7"/>
        </w:numPr>
        <w:rPr>
          <w:rFonts w:ascii="Arial" w:hAnsi="Arial" w:cs="Arial"/>
          <w:sz w:val="23"/>
          <w:szCs w:val="23"/>
        </w:rPr>
      </w:pPr>
      <w:r w:rsidRPr="00934654">
        <w:rPr>
          <w:rFonts w:ascii="Arial" w:hAnsi="Arial" w:cs="Arial"/>
          <w:sz w:val="23"/>
          <w:szCs w:val="23"/>
        </w:rPr>
        <w:t>Direct tourism-filled jobs made a higher contribution to filled jobs in Victoria than financial and insurance services (3.5%), agriculture, forestry and fishing (2.6%), and mining (0.3%) in 2023-24, reinforcing its importance as an employment generator.</w:t>
      </w:r>
    </w:p>
    <w:p w14:paraId="3C1E3CBF" w14:textId="7B299073" w:rsidR="00B37EC5" w:rsidRPr="00B82E1F" w:rsidRDefault="00F629C4" w:rsidP="00BD57F3">
      <w:pPr>
        <w:pStyle w:val="Heading1"/>
      </w:pPr>
      <w:bookmarkStart w:id="23" w:name="_Toc194938458"/>
      <w:r w:rsidRPr="00B82E1F">
        <w:t xml:space="preserve">3. </w:t>
      </w:r>
      <w:r w:rsidR="00B37EC5" w:rsidRPr="00B82E1F">
        <w:t>Gross State Product (GSP)</w:t>
      </w:r>
      <w:bookmarkEnd w:id="23"/>
    </w:p>
    <w:p w14:paraId="79C0F8E7" w14:textId="77777777" w:rsidR="00BD57F3" w:rsidRPr="00B82E1F" w:rsidRDefault="00BD57F3" w:rsidP="00BD57F3">
      <w:pPr>
        <w:rPr>
          <w:sz w:val="8"/>
          <w:szCs w:val="8"/>
        </w:rPr>
      </w:pPr>
    </w:p>
    <w:p w14:paraId="2C2F8E3C" w14:textId="66F567D6" w:rsidR="003B7417" w:rsidRPr="00934654" w:rsidRDefault="003B7417" w:rsidP="003B7417">
      <w:pPr>
        <w:pStyle w:val="ListParagraph"/>
        <w:numPr>
          <w:ilvl w:val="0"/>
          <w:numId w:val="7"/>
        </w:numPr>
        <w:rPr>
          <w:rFonts w:ascii="Arial" w:hAnsi="Arial" w:cs="Arial"/>
          <w:sz w:val="23"/>
          <w:szCs w:val="23"/>
        </w:rPr>
      </w:pPr>
      <w:r w:rsidRPr="00934654">
        <w:rPr>
          <w:rFonts w:ascii="Arial" w:hAnsi="Arial" w:cs="Arial"/>
          <w:sz w:val="23"/>
          <w:szCs w:val="23"/>
        </w:rPr>
        <w:t>Tourism’s total contribution to Victoria’s GSP has increased to a record peak of $36 billion</w:t>
      </w:r>
      <w:r w:rsidR="001A249B" w:rsidRPr="00934654">
        <w:rPr>
          <w:rFonts w:ascii="Arial" w:hAnsi="Arial" w:cs="Arial"/>
          <w:sz w:val="23"/>
          <w:szCs w:val="23"/>
        </w:rPr>
        <w:t xml:space="preserve"> </w:t>
      </w:r>
      <w:r w:rsidRPr="00934654">
        <w:rPr>
          <w:rFonts w:ascii="Arial" w:hAnsi="Arial" w:cs="Arial"/>
          <w:sz w:val="23"/>
          <w:szCs w:val="23"/>
        </w:rPr>
        <w:t>in 2023-24, up $4 billion or 13% from 2022-23.</w:t>
      </w:r>
    </w:p>
    <w:p w14:paraId="39C69C32" w14:textId="590CE381" w:rsidR="001A249B" w:rsidRPr="00934654" w:rsidRDefault="001A249B" w:rsidP="001A249B">
      <w:pPr>
        <w:pStyle w:val="ListParagraph"/>
        <w:numPr>
          <w:ilvl w:val="0"/>
          <w:numId w:val="7"/>
        </w:numPr>
        <w:rPr>
          <w:rFonts w:ascii="Arial" w:hAnsi="Arial" w:cs="Arial"/>
          <w:sz w:val="23"/>
          <w:szCs w:val="23"/>
        </w:rPr>
      </w:pPr>
      <w:r w:rsidRPr="00934654">
        <w:rPr>
          <w:rFonts w:ascii="Arial" w:hAnsi="Arial" w:cs="Arial"/>
          <w:sz w:val="23"/>
          <w:szCs w:val="23"/>
        </w:rPr>
        <w:t>In 2023-24, tourism directly contributed $18 billion to the Victorian economy. Direct tourism GSP was 13% above the 2022-23 estimate and 24% above the 2018-19 result.</w:t>
      </w:r>
    </w:p>
    <w:p w14:paraId="58CE49D6" w14:textId="3C253AA2" w:rsidR="001A249B" w:rsidRPr="00934654" w:rsidRDefault="001A249B" w:rsidP="001A249B">
      <w:pPr>
        <w:pStyle w:val="ListParagraph"/>
        <w:numPr>
          <w:ilvl w:val="0"/>
          <w:numId w:val="7"/>
        </w:numPr>
        <w:rPr>
          <w:rFonts w:ascii="Arial" w:hAnsi="Arial" w:cs="Arial"/>
          <w:sz w:val="23"/>
          <w:szCs w:val="23"/>
        </w:rPr>
      </w:pPr>
      <w:r w:rsidRPr="00934654">
        <w:rPr>
          <w:rFonts w:ascii="Arial" w:hAnsi="Arial" w:cs="Arial"/>
          <w:sz w:val="23"/>
          <w:szCs w:val="23"/>
        </w:rPr>
        <w:t>Tourism generated a 3.0% direct share of GSP in the state, up from 2.8% in 2022-23, although it was 0.2% points below 2018-19.</w:t>
      </w:r>
    </w:p>
    <w:p w14:paraId="541547DC" w14:textId="60297465" w:rsidR="001A249B" w:rsidRPr="00934654" w:rsidRDefault="001A249B" w:rsidP="001A249B">
      <w:pPr>
        <w:pStyle w:val="ListParagraph"/>
        <w:numPr>
          <w:ilvl w:val="0"/>
          <w:numId w:val="7"/>
        </w:numPr>
        <w:rPr>
          <w:rFonts w:ascii="Arial" w:hAnsi="Arial" w:cs="Arial"/>
          <w:sz w:val="23"/>
          <w:szCs w:val="23"/>
        </w:rPr>
      </w:pPr>
      <w:r w:rsidRPr="00934654">
        <w:rPr>
          <w:rFonts w:ascii="Arial" w:hAnsi="Arial" w:cs="Arial"/>
          <w:sz w:val="23"/>
          <w:szCs w:val="23"/>
        </w:rPr>
        <w:t>Tourism contributes to Victoria’s economy indirectly through the flow on effects of spending by visitors. For example, this might include fresh produce supplied to a hotel to deliver meals to guests.</w:t>
      </w:r>
    </w:p>
    <w:p w14:paraId="7EEB68DB" w14:textId="6E52D316" w:rsidR="001A249B" w:rsidRPr="00934654" w:rsidRDefault="001A249B" w:rsidP="001A249B">
      <w:pPr>
        <w:pStyle w:val="ListParagraph"/>
        <w:numPr>
          <w:ilvl w:val="0"/>
          <w:numId w:val="7"/>
        </w:numPr>
        <w:rPr>
          <w:rFonts w:ascii="Arial" w:hAnsi="Arial" w:cs="Arial"/>
          <w:sz w:val="23"/>
          <w:szCs w:val="23"/>
        </w:rPr>
      </w:pPr>
      <w:r w:rsidRPr="00934654">
        <w:rPr>
          <w:rFonts w:ascii="Arial" w:hAnsi="Arial" w:cs="Arial"/>
          <w:sz w:val="23"/>
          <w:szCs w:val="23"/>
        </w:rPr>
        <w:t>For every dollar spent directly on tourism in the Victorian economy, an additional 84 cents were spent indirectly elsewhere in the economy.</w:t>
      </w:r>
    </w:p>
    <w:p w14:paraId="7FA777E4" w14:textId="0FCDC1B0" w:rsidR="001A249B" w:rsidRPr="00934654" w:rsidRDefault="001A249B" w:rsidP="001A249B">
      <w:pPr>
        <w:pStyle w:val="ListParagraph"/>
        <w:numPr>
          <w:ilvl w:val="0"/>
          <w:numId w:val="7"/>
        </w:numPr>
        <w:rPr>
          <w:rFonts w:ascii="Arial" w:hAnsi="Arial" w:cs="Arial"/>
          <w:sz w:val="23"/>
          <w:szCs w:val="23"/>
        </w:rPr>
      </w:pPr>
      <w:r w:rsidRPr="00934654">
        <w:rPr>
          <w:rFonts w:ascii="Arial" w:hAnsi="Arial" w:cs="Arial"/>
          <w:sz w:val="23"/>
          <w:szCs w:val="23"/>
        </w:rPr>
        <w:t>Tourism indirectly contributed an additional $18 billion in GSP to the Victorian economy in 2023-24, up 12% from 2022-23, and a 21% increase above the 2018-19 estimate.</w:t>
      </w:r>
    </w:p>
    <w:p w14:paraId="671936DD" w14:textId="0A36F17E" w:rsidR="001A249B" w:rsidRPr="00934654" w:rsidRDefault="001A249B" w:rsidP="001A249B">
      <w:pPr>
        <w:pStyle w:val="ListParagraph"/>
        <w:numPr>
          <w:ilvl w:val="0"/>
          <w:numId w:val="7"/>
        </w:numPr>
        <w:rPr>
          <w:rFonts w:ascii="Arial" w:hAnsi="Arial" w:cs="Arial"/>
          <w:sz w:val="23"/>
          <w:szCs w:val="23"/>
        </w:rPr>
      </w:pPr>
      <w:r w:rsidRPr="00934654">
        <w:rPr>
          <w:rFonts w:ascii="Arial" w:hAnsi="Arial" w:cs="Arial"/>
          <w:sz w:val="23"/>
          <w:szCs w:val="23"/>
        </w:rPr>
        <w:t>In total, tourism in Victoria was worth $36 billion in GSP, which recorded an increase of 13% compared to 2022-23. This was 23% above the 2018-19 estimate.</w:t>
      </w:r>
    </w:p>
    <w:p w14:paraId="0E482D0C" w14:textId="77777777" w:rsidR="001A249B" w:rsidRPr="00934654" w:rsidRDefault="001A249B" w:rsidP="001A249B">
      <w:pPr>
        <w:pStyle w:val="ListParagraph"/>
        <w:numPr>
          <w:ilvl w:val="0"/>
          <w:numId w:val="7"/>
        </w:numPr>
        <w:rPr>
          <w:rFonts w:ascii="Arial" w:hAnsi="Arial" w:cs="Arial"/>
          <w:sz w:val="23"/>
          <w:szCs w:val="23"/>
        </w:rPr>
      </w:pPr>
      <w:r w:rsidRPr="00934654">
        <w:rPr>
          <w:rFonts w:ascii="Arial" w:hAnsi="Arial" w:cs="Arial"/>
          <w:sz w:val="23"/>
          <w:szCs w:val="23"/>
        </w:rPr>
        <w:t>Tourism’s share of Victoria’s GSP has increased from 5.6% in 2022-23 to 5.9% in 2023-24. Tourism’s share of GSP remains below the 2018-19 result of 6.3%</w:t>
      </w:r>
    </w:p>
    <w:p w14:paraId="13CEAA35" w14:textId="49F31A63" w:rsidR="008D2D0D" w:rsidRPr="001A249B" w:rsidRDefault="000A2765" w:rsidP="001A249B">
      <w:pPr>
        <w:pStyle w:val="Heading2"/>
        <w:rPr>
          <w:rFonts w:ascii="Arial" w:hAnsi="Arial" w:cs="Arial"/>
          <w:color w:val="002060"/>
          <w:sz w:val="23"/>
          <w:szCs w:val="23"/>
        </w:rPr>
      </w:pPr>
      <w:bookmarkStart w:id="24" w:name="_Toc194938459"/>
      <w:r w:rsidRPr="001A249B">
        <w:rPr>
          <w:rFonts w:ascii="Arial" w:hAnsi="Arial" w:cs="Arial"/>
          <w:color w:val="002060"/>
        </w:rPr>
        <w:t xml:space="preserve">3.1 </w:t>
      </w:r>
      <w:r w:rsidR="00C419DC" w:rsidRPr="001A249B">
        <w:rPr>
          <w:rFonts w:ascii="Arial" w:hAnsi="Arial" w:cs="Arial"/>
          <w:color w:val="002060"/>
        </w:rPr>
        <w:t>D</w:t>
      </w:r>
      <w:r w:rsidR="005E50A2" w:rsidRPr="001A249B">
        <w:rPr>
          <w:rFonts w:ascii="Arial" w:hAnsi="Arial" w:cs="Arial"/>
          <w:color w:val="002060"/>
        </w:rPr>
        <w:t>ata tables</w:t>
      </w:r>
      <w:bookmarkEnd w:id="24"/>
    </w:p>
    <w:p w14:paraId="1F15AF93" w14:textId="530EA862" w:rsidR="008D2D0D" w:rsidRPr="00934654" w:rsidRDefault="000A2765" w:rsidP="00313271">
      <w:pPr>
        <w:pStyle w:val="Heading3"/>
        <w:spacing w:before="120" w:after="120"/>
        <w:rPr>
          <w:rFonts w:ascii="Arial" w:hAnsi="Arial" w:cs="Arial"/>
          <w:color w:val="002060"/>
        </w:rPr>
      </w:pPr>
      <w:r w:rsidRPr="00B82E1F">
        <w:rPr>
          <w:rFonts w:ascii="Arial" w:hAnsi="Arial" w:cs="Arial"/>
          <w:color w:val="002060"/>
        </w:rPr>
        <w:t>3.1.</w:t>
      </w:r>
      <w:r w:rsidR="00325CB6" w:rsidRPr="00B82E1F">
        <w:rPr>
          <w:rFonts w:ascii="Arial" w:hAnsi="Arial" w:cs="Arial"/>
          <w:color w:val="002060"/>
        </w:rPr>
        <w:t>1</w:t>
      </w:r>
      <w:r w:rsidRPr="00B82E1F">
        <w:rPr>
          <w:rFonts w:ascii="Arial" w:hAnsi="Arial" w:cs="Arial"/>
          <w:color w:val="002060"/>
        </w:rPr>
        <w:t xml:space="preserve"> </w:t>
      </w:r>
      <w:r w:rsidR="008D2D0D" w:rsidRPr="00934654">
        <w:rPr>
          <w:rFonts w:ascii="Arial" w:hAnsi="Arial" w:cs="Arial"/>
          <w:color w:val="002060"/>
        </w:rPr>
        <w:t>Tourism’s volume contribution to direct, indirect, and total Victorian GSP from 201</w:t>
      </w:r>
      <w:r w:rsidR="00E0291B" w:rsidRPr="00934654">
        <w:rPr>
          <w:rFonts w:ascii="Arial" w:hAnsi="Arial" w:cs="Arial"/>
          <w:color w:val="002060"/>
        </w:rPr>
        <w:t>8</w:t>
      </w:r>
      <w:r w:rsidR="008D2D0D" w:rsidRPr="00934654">
        <w:rPr>
          <w:rFonts w:ascii="Arial" w:hAnsi="Arial" w:cs="Arial"/>
          <w:color w:val="002060"/>
        </w:rPr>
        <w:t>-1</w:t>
      </w:r>
      <w:r w:rsidR="00E0291B" w:rsidRPr="00934654">
        <w:rPr>
          <w:rFonts w:ascii="Arial" w:hAnsi="Arial" w:cs="Arial"/>
          <w:color w:val="002060"/>
        </w:rPr>
        <w:t>9</w:t>
      </w:r>
      <w:r w:rsidR="008D2D0D" w:rsidRPr="00934654">
        <w:rPr>
          <w:rFonts w:ascii="Arial" w:hAnsi="Arial" w:cs="Arial"/>
          <w:color w:val="002060"/>
        </w:rPr>
        <w:t xml:space="preserve"> to </w:t>
      </w:r>
      <w:r w:rsidR="00087CA3" w:rsidRPr="00934654">
        <w:rPr>
          <w:rFonts w:ascii="Arial" w:hAnsi="Arial" w:cs="Arial"/>
          <w:color w:val="002060"/>
        </w:rPr>
        <w:t>2023-24</w:t>
      </w:r>
    </w:p>
    <w:tbl>
      <w:tblPr>
        <w:tblStyle w:val="TableGrid"/>
        <w:tblW w:w="8719" w:type="dxa"/>
        <w:tblLayout w:type="fixed"/>
        <w:tblLook w:val="04A0" w:firstRow="1" w:lastRow="0" w:firstColumn="1" w:lastColumn="0" w:noHBand="0" w:noVBand="1"/>
      </w:tblPr>
      <w:tblGrid>
        <w:gridCol w:w="1855"/>
        <w:gridCol w:w="1144"/>
        <w:gridCol w:w="1144"/>
        <w:gridCol w:w="1144"/>
        <w:gridCol w:w="1144"/>
        <w:gridCol w:w="1144"/>
        <w:gridCol w:w="1144"/>
      </w:tblGrid>
      <w:tr w:rsidR="001A249B" w:rsidRPr="00934654" w14:paraId="2CF6241C" w14:textId="77777777" w:rsidTr="00BD57F3">
        <w:trPr>
          <w:tblHeader/>
        </w:trPr>
        <w:tc>
          <w:tcPr>
            <w:tcW w:w="1855" w:type="dxa"/>
            <w:shd w:val="clear" w:color="auto" w:fill="D9D9D9" w:themeFill="background1" w:themeFillShade="D9"/>
          </w:tcPr>
          <w:p w14:paraId="1B64D99C" w14:textId="77777777" w:rsidR="001A249B" w:rsidRPr="00934654" w:rsidRDefault="001A249B" w:rsidP="001A249B">
            <w:pPr>
              <w:pStyle w:val="Tabletext"/>
              <w:rPr>
                <w:b/>
                <w:sz w:val="21"/>
                <w:szCs w:val="21"/>
              </w:rPr>
            </w:pPr>
            <w:bookmarkStart w:id="25" w:name="Title_2" w:colFirst="0" w:colLast="0"/>
            <w:r w:rsidRPr="00934654">
              <w:rPr>
                <w:b/>
                <w:sz w:val="21"/>
                <w:szCs w:val="21"/>
              </w:rPr>
              <w:t>Measure</w:t>
            </w:r>
          </w:p>
        </w:tc>
        <w:tc>
          <w:tcPr>
            <w:tcW w:w="1144" w:type="dxa"/>
            <w:shd w:val="clear" w:color="auto" w:fill="D9D9D9" w:themeFill="background1" w:themeFillShade="D9"/>
          </w:tcPr>
          <w:p w14:paraId="3270370C" w14:textId="682E4BD4" w:rsidR="001A249B" w:rsidRPr="00934654" w:rsidRDefault="001A249B" w:rsidP="001A249B">
            <w:pPr>
              <w:pStyle w:val="Tabletext"/>
              <w:rPr>
                <w:b/>
                <w:sz w:val="21"/>
                <w:szCs w:val="21"/>
              </w:rPr>
            </w:pPr>
            <w:r w:rsidRPr="00934654">
              <w:rPr>
                <w:b/>
                <w:sz w:val="21"/>
                <w:szCs w:val="21"/>
              </w:rPr>
              <w:t>2018-19</w:t>
            </w:r>
          </w:p>
        </w:tc>
        <w:tc>
          <w:tcPr>
            <w:tcW w:w="1144" w:type="dxa"/>
            <w:shd w:val="clear" w:color="auto" w:fill="D9D9D9" w:themeFill="background1" w:themeFillShade="D9"/>
          </w:tcPr>
          <w:p w14:paraId="15FC9673" w14:textId="531FE6C5" w:rsidR="001A249B" w:rsidRPr="00934654" w:rsidRDefault="001A249B" w:rsidP="001A249B">
            <w:pPr>
              <w:pStyle w:val="Tabletext"/>
              <w:rPr>
                <w:b/>
                <w:sz w:val="21"/>
                <w:szCs w:val="21"/>
              </w:rPr>
            </w:pPr>
            <w:r w:rsidRPr="00934654">
              <w:rPr>
                <w:b/>
                <w:sz w:val="21"/>
                <w:szCs w:val="21"/>
              </w:rPr>
              <w:t>2019-20</w:t>
            </w:r>
          </w:p>
        </w:tc>
        <w:tc>
          <w:tcPr>
            <w:tcW w:w="1144" w:type="dxa"/>
            <w:shd w:val="clear" w:color="auto" w:fill="D9D9D9" w:themeFill="background1" w:themeFillShade="D9"/>
          </w:tcPr>
          <w:p w14:paraId="162475C3" w14:textId="14A397CF" w:rsidR="001A249B" w:rsidRPr="00934654" w:rsidRDefault="001A249B" w:rsidP="001A249B">
            <w:pPr>
              <w:pStyle w:val="Tabletext"/>
              <w:rPr>
                <w:b/>
                <w:sz w:val="21"/>
                <w:szCs w:val="21"/>
              </w:rPr>
            </w:pPr>
            <w:r w:rsidRPr="00934654">
              <w:rPr>
                <w:b/>
                <w:sz w:val="21"/>
                <w:szCs w:val="21"/>
              </w:rPr>
              <w:t>2020-21</w:t>
            </w:r>
          </w:p>
        </w:tc>
        <w:tc>
          <w:tcPr>
            <w:tcW w:w="1144" w:type="dxa"/>
            <w:shd w:val="clear" w:color="auto" w:fill="D9D9D9" w:themeFill="background1" w:themeFillShade="D9"/>
          </w:tcPr>
          <w:p w14:paraId="0FC6699C" w14:textId="77087DF5" w:rsidR="001A249B" w:rsidRPr="00934654" w:rsidRDefault="001A249B" w:rsidP="001A249B">
            <w:pPr>
              <w:pStyle w:val="Tabletext"/>
              <w:rPr>
                <w:b/>
                <w:sz w:val="21"/>
                <w:szCs w:val="21"/>
              </w:rPr>
            </w:pPr>
            <w:r w:rsidRPr="00934654">
              <w:rPr>
                <w:b/>
                <w:sz w:val="21"/>
                <w:szCs w:val="21"/>
              </w:rPr>
              <w:t>2021-22</w:t>
            </w:r>
          </w:p>
        </w:tc>
        <w:tc>
          <w:tcPr>
            <w:tcW w:w="1144" w:type="dxa"/>
            <w:shd w:val="clear" w:color="auto" w:fill="D9D9D9" w:themeFill="background1" w:themeFillShade="D9"/>
          </w:tcPr>
          <w:p w14:paraId="49CE4480" w14:textId="46BB17FA" w:rsidR="001A249B" w:rsidRPr="00934654" w:rsidRDefault="001A249B" w:rsidP="001A249B">
            <w:pPr>
              <w:pStyle w:val="Tabletext"/>
              <w:rPr>
                <w:b/>
                <w:sz w:val="21"/>
                <w:szCs w:val="21"/>
              </w:rPr>
            </w:pPr>
            <w:r w:rsidRPr="00934654">
              <w:rPr>
                <w:b/>
                <w:sz w:val="21"/>
                <w:szCs w:val="21"/>
              </w:rPr>
              <w:t>2022-23</w:t>
            </w:r>
          </w:p>
        </w:tc>
        <w:tc>
          <w:tcPr>
            <w:tcW w:w="1144" w:type="dxa"/>
            <w:shd w:val="clear" w:color="auto" w:fill="D9D9D9" w:themeFill="background1" w:themeFillShade="D9"/>
          </w:tcPr>
          <w:p w14:paraId="0926B4E3" w14:textId="71575D63" w:rsidR="001A249B" w:rsidRPr="00934654" w:rsidRDefault="001A249B" w:rsidP="001A249B">
            <w:pPr>
              <w:pStyle w:val="Tabletext"/>
              <w:rPr>
                <w:b/>
                <w:sz w:val="21"/>
                <w:szCs w:val="21"/>
              </w:rPr>
            </w:pPr>
            <w:r w:rsidRPr="00934654">
              <w:rPr>
                <w:b/>
                <w:sz w:val="21"/>
                <w:szCs w:val="21"/>
              </w:rPr>
              <w:t>2023-24</w:t>
            </w:r>
          </w:p>
        </w:tc>
      </w:tr>
      <w:bookmarkEnd w:id="25"/>
      <w:tr w:rsidR="00684B24" w:rsidRPr="00934654" w14:paraId="4EBBA17B" w14:textId="77777777" w:rsidTr="001465C5">
        <w:tc>
          <w:tcPr>
            <w:tcW w:w="1855" w:type="dxa"/>
            <w:vAlign w:val="bottom"/>
          </w:tcPr>
          <w:p w14:paraId="79D4101F" w14:textId="50657E97" w:rsidR="00684B24" w:rsidRPr="00934654" w:rsidRDefault="00684B24" w:rsidP="00684B24">
            <w:pPr>
              <w:rPr>
                <w:rFonts w:ascii="Arial" w:hAnsi="Arial" w:cs="Arial"/>
              </w:rPr>
            </w:pPr>
            <w:r w:rsidRPr="00934654">
              <w:rPr>
                <w:rFonts w:ascii="Arial" w:hAnsi="Arial" w:cs="Arial"/>
              </w:rPr>
              <w:t>Direct GSP ($b)</w:t>
            </w:r>
          </w:p>
        </w:tc>
        <w:tc>
          <w:tcPr>
            <w:tcW w:w="1144" w:type="dxa"/>
          </w:tcPr>
          <w:p w14:paraId="37F1358F" w14:textId="4EE08335" w:rsidR="00684B24" w:rsidRPr="00934654" w:rsidRDefault="00684B24" w:rsidP="00684B24">
            <w:pPr>
              <w:rPr>
                <w:rFonts w:ascii="Arial" w:hAnsi="Arial" w:cs="Arial"/>
              </w:rPr>
            </w:pPr>
            <w:r w:rsidRPr="00934654">
              <w:rPr>
                <w:rFonts w:ascii="Arial" w:hAnsi="Arial" w:cs="Arial"/>
              </w:rPr>
              <w:t>$14.5</w:t>
            </w:r>
          </w:p>
        </w:tc>
        <w:tc>
          <w:tcPr>
            <w:tcW w:w="1144" w:type="dxa"/>
          </w:tcPr>
          <w:p w14:paraId="3BA0886A" w14:textId="72B2B06A" w:rsidR="00684B24" w:rsidRPr="00934654" w:rsidRDefault="00684B24" w:rsidP="00684B24">
            <w:pPr>
              <w:rPr>
                <w:rFonts w:ascii="Arial" w:hAnsi="Arial" w:cs="Arial"/>
              </w:rPr>
            </w:pPr>
            <w:r w:rsidRPr="00934654">
              <w:rPr>
                <w:rFonts w:ascii="Arial" w:hAnsi="Arial" w:cs="Arial"/>
              </w:rPr>
              <w:t>$11.4</w:t>
            </w:r>
          </w:p>
        </w:tc>
        <w:tc>
          <w:tcPr>
            <w:tcW w:w="1144" w:type="dxa"/>
          </w:tcPr>
          <w:p w14:paraId="189E1FB4" w14:textId="084EC337" w:rsidR="00684B24" w:rsidRPr="00934654" w:rsidRDefault="00684B24" w:rsidP="00684B24">
            <w:pPr>
              <w:rPr>
                <w:rFonts w:ascii="Arial" w:hAnsi="Arial" w:cs="Arial"/>
              </w:rPr>
            </w:pPr>
            <w:r w:rsidRPr="00934654">
              <w:rPr>
                <w:rFonts w:ascii="Arial" w:hAnsi="Arial" w:cs="Arial"/>
              </w:rPr>
              <w:t>$5.2</w:t>
            </w:r>
          </w:p>
        </w:tc>
        <w:tc>
          <w:tcPr>
            <w:tcW w:w="1144" w:type="dxa"/>
          </w:tcPr>
          <w:p w14:paraId="05330407" w14:textId="374816ED" w:rsidR="00684B24" w:rsidRPr="00934654" w:rsidRDefault="00684B24" w:rsidP="00684B24">
            <w:pPr>
              <w:rPr>
                <w:rFonts w:ascii="Arial" w:hAnsi="Arial" w:cs="Arial"/>
              </w:rPr>
            </w:pPr>
            <w:r w:rsidRPr="00934654">
              <w:rPr>
                <w:rFonts w:ascii="Arial" w:hAnsi="Arial" w:cs="Arial"/>
              </w:rPr>
              <w:t>$7.9</w:t>
            </w:r>
          </w:p>
        </w:tc>
        <w:tc>
          <w:tcPr>
            <w:tcW w:w="1144" w:type="dxa"/>
          </w:tcPr>
          <w:p w14:paraId="112E2689" w14:textId="3159CF87" w:rsidR="00684B24" w:rsidRPr="00934654" w:rsidRDefault="00684B24" w:rsidP="00684B24">
            <w:pPr>
              <w:rPr>
                <w:rFonts w:ascii="Arial" w:hAnsi="Arial" w:cs="Arial"/>
              </w:rPr>
            </w:pPr>
            <w:r w:rsidRPr="00934654">
              <w:rPr>
                <w:rFonts w:ascii="Arial" w:hAnsi="Arial" w:cs="Arial"/>
              </w:rPr>
              <w:t>$15.9</w:t>
            </w:r>
          </w:p>
        </w:tc>
        <w:tc>
          <w:tcPr>
            <w:tcW w:w="1144" w:type="dxa"/>
          </w:tcPr>
          <w:p w14:paraId="32890CC5" w14:textId="5B79322E" w:rsidR="00684B24" w:rsidRPr="00934654" w:rsidRDefault="00684B24" w:rsidP="00684B24">
            <w:pPr>
              <w:rPr>
                <w:rFonts w:ascii="Arial" w:hAnsi="Arial" w:cs="Arial"/>
              </w:rPr>
            </w:pPr>
            <w:r w:rsidRPr="00934654">
              <w:rPr>
                <w:rFonts w:ascii="Arial" w:hAnsi="Arial" w:cs="Arial"/>
              </w:rPr>
              <w:t>$18.0</w:t>
            </w:r>
          </w:p>
        </w:tc>
      </w:tr>
      <w:tr w:rsidR="00684B24" w:rsidRPr="00934654" w14:paraId="6A151155" w14:textId="77777777" w:rsidTr="001465C5">
        <w:tc>
          <w:tcPr>
            <w:tcW w:w="1855" w:type="dxa"/>
            <w:vAlign w:val="bottom"/>
          </w:tcPr>
          <w:p w14:paraId="0F2EC334" w14:textId="49642F47" w:rsidR="00684B24" w:rsidRPr="00934654" w:rsidRDefault="00684B24" w:rsidP="00684B24">
            <w:pPr>
              <w:rPr>
                <w:rFonts w:ascii="Arial" w:hAnsi="Arial" w:cs="Arial"/>
              </w:rPr>
            </w:pPr>
            <w:r w:rsidRPr="00934654">
              <w:rPr>
                <w:rFonts w:ascii="Arial" w:hAnsi="Arial" w:cs="Arial"/>
              </w:rPr>
              <w:t>Indirect GSP ($b)</w:t>
            </w:r>
          </w:p>
        </w:tc>
        <w:tc>
          <w:tcPr>
            <w:tcW w:w="1144" w:type="dxa"/>
          </w:tcPr>
          <w:p w14:paraId="6BD4BE79" w14:textId="7C0F7E4F" w:rsidR="00684B24" w:rsidRPr="00934654" w:rsidRDefault="00684B24" w:rsidP="00684B24">
            <w:pPr>
              <w:rPr>
                <w:rFonts w:ascii="Arial" w:hAnsi="Arial" w:cs="Arial"/>
              </w:rPr>
            </w:pPr>
            <w:r w:rsidRPr="00934654">
              <w:rPr>
                <w:rFonts w:ascii="Arial" w:hAnsi="Arial" w:cs="Arial"/>
              </w:rPr>
              <w:t>$14.9</w:t>
            </w:r>
          </w:p>
        </w:tc>
        <w:tc>
          <w:tcPr>
            <w:tcW w:w="1144" w:type="dxa"/>
          </w:tcPr>
          <w:p w14:paraId="5B9C10EE" w14:textId="7E962B50" w:rsidR="00684B24" w:rsidRPr="00934654" w:rsidRDefault="00684B24" w:rsidP="00684B24">
            <w:pPr>
              <w:rPr>
                <w:rFonts w:ascii="Arial" w:hAnsi="Arial" w:cs="Arial"/>
              </w:rPr>
            </w:pPr>
            <w:r w:rsidRPr="00934654">
              <w:rPr>
                <w:rFonts w:ascii="Arial" w:hAnsi="Arial" w:cs="Arial"/>
              </w:rPr>
              <w:t>$12.1</w:t>
            </w:r>
          </w:p>
        </w:tc>
        <w:tc>
          <w:tcPr>
            <w:tcW w:w="1144" w:type="dxa"/>
          </w:tcPr>
          <w:p w14:paraId="0D4266BC" w14:textId="7DB64196" w:rsidR="00684B24" w:rsidRPr="00934654" w:rsidRDefault="00684B24" w:rsidP="00684B24">
            <w:pPr>
              <w:rPr>
                <w:rFonts w:ascii="Arial" w:hAnsi="Arial" w:cs="Arial"/>
              </w:rPr>
            </w:pPr>
            <w:r w:rsidRPr="00934654">
              <w:rPr>
                <w:rFonts w:ascii="Arial" w:hAnsi="Arial" w:cs="Arial"/>
              </w:rPr>
              <w:t>$6.2</w:t>
            </w:r>
          </w:p>
        </w:tc>
        <w:tc>
          <w:tcPr>
            <w:tcW w:w="1144" w:type="dxa"/>
          </w:tcPr>
          <w:p w14:paraId="476BFFD5" w14:textId="7CA174F5" w:rsidR="00684B24" w:rsidRPr="00934654" w:rsidRDefault="00684B24" w:rsidP="00684B24">
            <w:pPr>
              <w:rPr>
                <w:rFonts w:ascii="Arial" w:hAnsi="Arial" w:cs="Arial"/>
              </w:rPr>
            </w:pPr>
            <w:r w:rsidRPr="00934654">
              <w:rPr>
                <w:rFonts w:ascii="Arial" w:hAnsi="Arial" w:cs="Arial"/>
              </w:rPr>
              <w:t>$8.9</w:t>
            </w:r>
          </w:p>
        </w:tc>
        <w:tc>
          <w:tcPr>
            <w:tcW w:w="1144" w:type="dxa"/>
          </w:tcPr>
          <w:p w14:paraId="15425770" w14:textId="745D8D1A" w:rsidR="00684B24" w:rsidRPr="00934654" w:rsidRDefault="00684B24" w:rsidP="00684B24">
            <w:pPr>
              <w:rPr>
                <w:rFonts w:ascii="Arial" w:hAnsi="Arial" w:cs="Arial"/>
              </w:rPr>
            </w:pPr>
            <w:r w:rsidRPr="00934654">
              <w:rPr>
                <w:rFonts w:ascii="Arial" w:hAnsi="Arial" w:cs="Arial"/>
              </w:rPr>
              <w:t>$16.0</w:t>
            </w:r>
          </w:p>
        </w:tc>
        <w:tc>
          <w:tcPr>
            <w:tcW w:w="1144" w:type="dxa"/>
          </w:tcPr>
          <w:p w14:paraId="2D211AFC" w14:textId="12B14531" w:rsidR="00684B24" w:rsidRPr="00934654" w:rsidRDefault="00684B24" w:rsidP="00684B24">
            <w:pPr>
              <w:rPr>
                <w:rFonts w:ascii="Arial" w:hAnsi="Arial" w:cs="Arial"/>
              </w:rPr>
            </w:pPr>
            <w:r w:rsidRPr="00934654">
              <w:rPr>
                <w:rFonts w:ascii="Arial" w:hAnsi="Arial" w:cs="Arial"/>
              </w:rPr>
              <w:t>$18.0</w:t>
            </w:r>
          </w:p>
        </w:tc>
      </w:tr>
      <w:tr w:rsidR="00684B24" w:rsidRPr="00934654" w14:paraId="4CA3CE44" w14:textId="77777777" w:rsidTr="001465C5">
        <w:tc>
          <w:tcPr>
            <w:tcW w:w="1855" w:type="dxa"/>
            <w:vAlign w:val="bottom"/>
          </w:tcPr>
          <w:p w14:paraId="4546D746" w14:textId="16F08484" w:rsidR="00684B24" w:rsidRPr="00934654" w:rsidRDefault="00684B24" w:rsidP="00684B24">
            <w:pPr>
              <w:rPr>
                <w:rFonts w:ascii="Arial" w:hAnsi="Arial" w:cs="Arial"/>
              </w:rPr>
            </w:pPr>
            <w:r w:rsidRPr="00934654">
              <w:rPr>
                <w:rFonts w:ascii="Arial" w:hAnsi="Arial" w:cs="Arial"/>
              </w:rPr>
              <w:t>Total GSP ($b)</w:t>
            </w:r>
          </w:p>
        </w:tc>
        <w:tc>
          <w:tcPr>
            <w:tcW w:w="1144" w:type="dxa"/>
          </w:tcPr>
          <w:p w14:paraId="04F505CF" w14:textId="46B11B7D" w:rsidR="00684B24" w:rsidRPr="00934654" w:rsidRDefault="00684B24" w:rsidP="00684B24">
            <w:pPr>
              <w:rPr>
                <w:rFonts w:ascii="Arial" w:hAnsi="Arial" w:cs="Arial"/>
              </w:rPr>
            </w:pPr>
            <w:r w:rsidRPr="00934654">
              <w:rPr>
                <w:rFonts w:ascii="Arial" w:hAnsi="Arial" w:cs="Arial"/>
              </w:rPr>
              <w:t>$29.3</w:t>
            </w:r>
          </w:p>
        </w:tc>
        <w:tc>
          <w:tcPr>
            <w:tcW w:w="1144" w:type="dxa"/>
          </w:tcPr>
          <w:p w14:paraId="46EC931E" w14:textId="1378709E" w:rsidR="00684B24" w:rsidRPr="00934654" w:rsidRDefault="00684B24" w:rsidP="00684B24">
            <w:pPr>
              <w:rPr>
                <w:rFonts w:ascii="Arial" w:hAnsi="Arial" w:cs="Arial"/>
              </w:rPr>
            </w:pPr>
            <w:r w:rsidRPr="00934654">
              <w:rPr>
                <w:rFonts w:ascii="Arial" w:hAnsi="Arial" w:cs="Arial"/>
              </w:rPr>
              <w:t>$23.5</w:t>
            </w:r>
          </w:p>
        </w:tc>
        <w:tc>
          <w:tcPr>
            <w:tcW w:w="1144" w:type="dxa"/>
          </w:tcPr>
          <w:p w14:paraId="7CD4B339" w14:textId="0E850796" w:rsidR="00684B24" w:rsidRPr="00934654" w:rsidRDefault="00684B24" w:rsidP="00684B24">
            <w:pPr>
              <w:rPr>
                <w:rFonts w:ascii="Arial" w:hAnsi="Arial" w:cs="Arial"/>
              </w:rPr>
            </w:pPr>
            <w:r w:rsidRPr="00934654">
              <w:rPr>
                <w:rFonts w:ascii="Arial" w:hAnsi="Arial" w:cs="Arial"/>
              </w:rPr>
              <w:t>$11.3</w:t>
            </w:r>
          </w:p>
        </w:tc>
        <w:tc>
          <w:tcPr>
            <w:tcW w:w="1144" w:type="dxa"/>
          </w:tcPr>
          <w:p w14:paraId="06EC7CEF" w14:textId="2080C316" w:rsidR="00684B24" w:rsidRPr="00934654" w:rsidRDefault="00684B24" w:rsidP="00684B24">
            <w:pPr>
              <w:rPr>
                <w:rFonts w:ascii="Arial" w:hAnsi="Arial" w:cs="Arial"/>
              </w:rPr>
            </w:pPr>
            <w:r w:rsidRPr="00934654">
              <w:rPr>
                <w:rFonts w:ascii="Arial" w:hAnsi="Arial" w:cs="Arial"/>
              </w:rPr>
              <w:t>$16.8</w:t>
            </w:r>
          </w:p>
        </w:tc>
        <w:tc>
          <w:tcPr>
            <w:tcW w:w="1144" w:type="dxa"/>
          </w:tcPr>
          <w:p w14:paraId="39818D9A" w14:textId="06C8E24F" w:rsidR="00684B24" w:rsidRPr="00934654" w:rsidRDefault="00684B24" w:rsidP="00684B24">
            <w:pPr>
              <w:rPr>
                <w:rFonts w:ascii="Arial" w:hAnsi="Arial" w:cs="Arial"/>
              </w:rPr>
            </w:pPr>
            <w:r w:rsidRPr="00934654">
              <w:rPr>
                <w:rFonts w:ascii="Arial" w:hAnsi="Arial" w:cs="Arial"/>
              </w:rPr>
              <w:t>$31.9</w:t>
            </w:r>
          </w:p>
        </w:tc>
        <w:tc>
          <w:tcPr>
            <w:tcW w:w="1144" w:type="dxa"/>
          </w:tcPr>
          <w:p w14:paraId="3A22304D" w14:textId="639EB6D5" w:rsidR="00684B24" w:rsidRPr="00934654" w:rsidRDefault="00684B24" w:rsidP="00684B24">
            <w:pPr>
              <w:rPr>
                <w:rFonts w:ascii="Arial" w:hAnsi="Arial" w:cs="Arial"/>
              </w:rPr>
            </w:pPr>
            <w:r w:rsidRPr="00934654">
              <w:rPr>
                <w:rFonts w:ascii="Arial" w:hAnsi="Arial" w:cs="Arial"/>
              </w:rPr>
              <w:t>$36.0</w:t>
            </w:r>
          </w:p>
        </w:tc>
      </w:tr>
    </w:tbl>
    <w:p w14:paraId="22D10EB4" w14:textId="77777777" w:rsidR="008D2D0D" w:rsidRPr="00934654" w:rsidRDefault="008D2D0D" w:rsidP="00C419DC">
      <w:pPr>
        <w:pStyle w:val="NoSpacing"/>
        <w:rPr>
          <w:rFonts w:ascii="Arial" w:hAnsi="Arial" w:cs="Arial"/>
        </w:rPr>
      </w:pPr>
    </w:p>
    <w:p w14:paraId="667FF479" w14:textId="55565E7C" w:rsidR="00BD57F3" w:rsidRPr="00B82E1F" w:rsidRDefault="000A2765" w:rsidP="00BD57F3">
      <w:pPr>
        <w:pStyle w:val="Heading3"/>
        <w:spacing w:before="120" w:after="120"/>
        <w:rPr>
          <w:rFonts w:ascii="Arial" w:hAnsi="Arial" w:cs="Arial"/>
          <w:color w:val="002060"/>
        </w:rPr>
      </w:pPr>
      <w:r w:rsidRPr="00934654">
        <w:rPr>
          <w:rFonts w:ascii="Arial" w:hAnsi="Arial" w:cs="Arial"/>
          <w:color w:val="002060"/>
        </w:rPr>
        <w:t>3.1.</w:t>
      </w:r>
      <w:r w:rsidR="00325CB6" w:rsidRPr="00934654">
        <w:rPr>
          <w:rFonts w:ascii="Arial" w:hAnsi="Arial" w:cs="Arial"/>
          <w:color w:val="002060"/>
        </w:rPr>
        <w:t xml:space="preserve">2 </w:t>
      </w:r>
      <w:r w:rsidR="003714AE" w:rsidRPr="00934654">
        <w:rPr>
          <w:rFonts w:ascii="Arial" w:hAnsi="Arial" w:cs="Arial"/>
          <w:color w:val="002060"/>
        </w:rPr>
        <w:t xml:space="preserve">Tourism’s </w:t>
      </w:r>
      <w:r w:rsidR="005E50A2" w:rsidRPr="00934654">
        <w:rPr>
          <w:rFonts w:ascii="Arial" w:hAnsi="Arial" w:cs="Arial"/>
          <w:color w:val="002060"/>
        </w:rPr>
        <w:t>percentage</w:t>
      </w:r>
      <w:r w:rsidR="003714AE" w:rsidRPr="00934654">
        <w:rPr>
          <w:rFonts w:ascii="Arial" w:hAnsi="Arial" w:cs="Arial"/>
          <w:color w:val="002060"/>
        </w:rPr>
        <w:t xml:space="preserve"> contribution to </w:t>
      </w:r>
      <w:r w:rsidR="00620273" w:rsidRPr="00934654">
        <w:rPr>
          <w:rFonts w:ascii="Arial" w:hAnsi="Arial" w:cs="Arial"/>
          <w:color w:val="002060"/>
        </w:rPr>
        <w:t xml:space="preserve">direct, indirect, and total </w:t>
      </w:r>
      <w:r w:rsidR="003714AE" w:rsidRPr="00934654">
        <w:rPr>
          <w:rFonts w:ascii="Arial" w:hAnsi="Arial" w:cs="Arial"/>
          <w:color w:val="002060"/>
        </w:rPr>
        <w:t xml:space="preserve">Victorian GSP </w:t>
      </w:r>
      <w:r w:rsidR="00620273" w:rsidRPr="00934654">
        <w:rPr>
          <w:rFonts w:ascii="Arial" w:hAnsi="Arial" w:cs="Arial"/>
          <w:color w:val="002060"/>
        </w:rPr>
        <w:t xml:space="preserve">from </w:t>
      </w:r>
      <w:r w:rsidR="00BD57F3" w:rsidRPr="00934654">
        <w:rPr>
          <w:rFonts w:ascii="Arial" w:hAnsi="Arial" w:cs="Arial"/>
          <w:color w:val="002060"/>
        </w:rPr>
        <w:t>201</w:t>
      </w:r>
      <w:r w:rsidR="00E0291B" w:rsidRPr="00934654">
        <w:rPr>
          <w:rFonts w:ascii="Arial" w:hAnsi="Arial" w:cs="Arial"/>
          <w:color w:val="002060"/>
        </w:rPr>
        <w:t>8</w:t>
      </w:r>
      <w:r w:rsidR="00BD57F3" w:rsidRPr="00934654">
        <w:rPr>
          <w:rFonts w:ascii="Arial" w:hAnsi="Arial" w:cs="Arial"/>
          <w:color w:val="002060"/>
        </w:rPr>
        <w:t>-1</w:t>
      </w:r>
      <w:r w:rsidR="00E0291B" w:rsidRPr="00934654">
        <w:rPr>
          <w:rFonts w:ascii="Arial" w:hAnsi="Arial" w:cs="Arial"/>
          <w:color w:val="002060"/>
        </w:rPr>
        <w:t>9</w:t>
      </w:r>
      <w:r w:rsidR="00BD57F3" w:rsidRPr="00934654">
        <w:rPr>
          <w:rFonts w:ascii="Arial" w:hAnsi="Arial" w:cs="Arial"/>
          <w:color w:val="002060"/>
        </w:rPr>
        <w:t xml:space="preserve"> to </w:t>
      </w:r>
      <w:r w:rsidR="00087CA3" w:rsidRPr="00934654">
        <w:rPr>
          <w:rFonts w:ascii="Arial" w:hAnsi="Arial" w:cs="Arial"/>
          <w:color w:val="002060"/>
        </w:rPr>
        <w:t>2023-24</w:t>
      </w:r>
    </w:p>
    <w:tbl>
      <w:tblPr>
        <w:tblStyle w:val="TableGrid"/>
        <w:tblW w:w="0" w:type="auto"/>
        <w:tblLook w:val="04A0" w:firstRow="1" w:lastRow="0" w:firstColumn="1" w:lastColumn="0" w:noHBand="0" w:noVBand="1"/>
      </w:tblPr>
      <w:tblGrid>
        <w:gridCol w:w="1276"/>
        <w:gridCol w:w="1208"/>
        <w:gridCol w:w="1209"/>
        <w:gridCol w:w="1209"/>
        <w:gridCol w:w="1209"/>
        <w:gridCol w:w="1209"/>
        <w:gridCol w:w="1209"/>
      </w:tblGrid>
      <w:tr w:rsidR="001A249B" w:rsidRPr="00934654" w14:paraId="56239C9C" w14:textId="77777777" w:rsidTr="000710FB">
        <w:trPr>
          <w:tblHeader/>
        </w:trPr>
        <w:tc>
          <w:tcPr>
            <w:tcW w:w="1276" w:type="dxa"/>
            <w:shd w:val="clear" w:color="auto" w:fill="D9D9D9" w:themeFill="background1" w:themeFillShade="D9"/>
          </w:tcPr>
          <w:p w14:paraId="17BC919E" w14:textId="2E1596DF" w:rsidR="001A249B" w:rsidRPr="00934654" w:rsidRDefault="001A249B" w:rsidP="001A249B">
            <w:pPr>
              <w:pStyle w:val="Tabletext"/>
              <w:rPr>
                <w:b/>
                <w:sz w:val="21"/>
                <w:szCs w:val="21"/>
              </w:rPr>
            </w:pPr>
            <w:bookmarkStart w:id="26" w:name="Title_3" w:colFirst="0" w:colLast="0"/>
            <w:r w:rsidRPr="00934654">
              <w:rPr>
                <w:b/>
                <w:sz w:val="21"/>
                <w:szCs w:val="21"/>
              </w:rPr>
              <w:t>Measure</w:t>
            </w:r>
          </w:p>
        </w:tc>
        <w:tc>
          <w:tcPr>
            <w:tcW w:w="1208" w:type="dxa"/>
            <w:shd w:val="clear" w:color="auto" w:fill="D9D9D9" w:themeFill="background1" w:themeFillShade="D9"/>
          </w:tcPr>
          <w:p w14:paraId="382B1571" w14:textId="6990E08B" w:rsidR="001A249B" w:rsidRPr="00934654" w:rsidRDefault="001A249B" w:rsidP="001A249B">
            <w:pPr>
              <w:pStyle w:val="Tabletext"/>
              <w:rPr>
                <w:b/>
                <w:sz w:val="21"/>
                <w:szCs w:val="21"/>
              </w:rPr>
            </w:pPr>
            <w:r w:rsidRPr="00934654">
              <w:rPr>
                <w:b/>
                <w:sz w:val="21"/>
                <w:szCs w:val="21"/>
              </w:rPr>
              <w:t>2018-19</w:t>
            </w:r>
          </w:p>
        </w:tc>
        <w:tc>
          <w:tcPr>
            <w:tcW w:w="1209" w:type="dxa"/>
            <w:shd w:val="clear" w:color="auto" w:fill="D9D9D9" w:themeFill="background1" w:themeFillShade="D9"/>
          </w:tcPr>
          <w:p w14:paraId="67E26EFC" w14:textId="705AB31E" w:rsidR="001A249B" w:rsidRPr="00934654" w:rsidRDefault="001A249B" w:rsidP="001A249B">
            <w:pPr>
              <w:pStyle w:val="Tabletext"/>
              <w:rPr>
                <w:b/>
                <w:sz w:val="21"/>
                <w:szCs w:val="21"/>
              </w:rPr>
            </w:pPr>
            <w:r w:rsidRPr="00934654">
              <w:rPr>
                <w:b/>
                <w:sz w:val="21"/>
                <w:szCs w:val="21"/>
              </w:rPr>
              <w:t>2019-20</w:t>
            </w:r>
          </w:p>
        </w:tc>
        <w:tc>
          <w:tcPr>
            <w:tcW w:w="1209" w:type="dxa"/>
            <w:shd w:val="clear" w:color="auto" w:fill="D9D9D9" w:themeFill="background1" w:themeFillShade="D9"/>
          </w:tcPr>
          <w:p w14:paraId="74C898B4" w14:textId="3F311868" w:rsidR="001A249B" w:rsidRPr="00934654" w:rsidRDefault="001A249B" w:rsidP="001A249B">
            <w:pPr>
              <w:pStyle w:val="Tabletext"/>
              <w:rPr>
                <w:b/>
                <w:sz w:val="21"/>
                <w:szCs w:val="21"/>
              </w:rPr>
            </w:pPr>
            <w:r w:rsidRPr="00934654">
              <w:rPr>
                <w:b/>
                <w:sz w:val="21"/>
                <w:szCs w:val="21"/>
              </w:rPr>
              <w:t>2020-21</w:t>
            </w:r>
          </w:p>
        </w:tc>
        <w:tc>
          <w:tcPr>
            <w:tcW w:w="1209" w:type="dxa"/>
            <w:shd w:val="clear" w:color="auto" w:fill="D9D9D9" w:themeFill="background1" w:themeFillShade="D9"/>
          </w:tcPr>
          <w:p w14:paraId="4E972574" w14:textId="6F8A83B3" w:rsidR="001A249B" w:rsidRPr="00934654" w:rsidRDefault="001A249B" w:rsidP="001A249B">
            <w:pPr>
              <w:pStyle w:val="Tabletext"/>
              <w:rPr>
                <w:b/>
                <w:sz w:val="21"/>
                <w:szCs w:val="21"/>
              </w:rPr>
            </w:pPr>
            <w:r w:rsidRPr="00934654">
              <w:rPr>
                <w:b/>
                <w:sz w:val="21"/>
                <w:szCs w:val="21"/>
              </w:rPr>
              <w:t>2021-22</w:t>
            </w:r>
          </w:p>
        </w:tc>
        <w:tc>
          <w:tcPr>
            <w:tcW w:w="1209" w:type="dxa"/>
            <w:shd w:val="clear" w:color="auto" w:fill="D9D9D9" w:themeFill="background1" w:themeFillShade="D9"/>
          </w:tcPr>
          <w:p w14:paraId="1784BAEB" w14:textId="754E8B7E" w:rsidR="001A249B" w:rsidRPr="00934654" w:rsidRDefault="001A249B" w:rsidP="001A249B">
            <w:pPr>
              <w:pStyle w:val="Tabletext"/>
              <w:rPr>
                <w:b/>
                <w:sz w:val="21"/>
                <w:szCs w:val="21"/>
              </w:rPr>
            </w:pPr>
            <w:r w:rsidRPr="00934654">
              <w:rPr>
                <w:b/>
                <w:sz w:val="21"/>
                <w:szCs w:val="21"/>
              </w:rPr>
              <w:t>2022-23</w:t>
            </w:r>
          </w:p>
        </w:tc>
        <w:tc>
          <w:tcPr>
            <w:tcW w:w="1209" w:type="dxa"/>
            <w:shd w:val="clear" w:color="auto" w:fill="D9D9D9" w:themeFill="background1" w:themeFillShade="D9"/>
          </w:tcPr>
          <w:p w14:paraId="5A0392CD" w14:textId="7980764A" w:rsidR="001A249B" w:rsidRPr="00934654" w:rsidRDefault="001A249B" w:rsidP="001A249B">
            <w:pPr>
              <w:pStyle w:val="Tabletext"/>
              <w:rPr>
                <w:b/>
                <w:sz w:val="21"/>
                <w:szCs w:val="21"/>
              </w:rPr>
            </w:pPr>
            <w:r w:rsidRPr="00934654">
              <w:rPr>
                <w:b/>
                <w:sz w:val="21"/>
                <w:szCs w:val="21"/>
              </w:rPr>
              <w:t>2023-24</w:t>
            </w:r>
          </w:p>
        </w:tc>
      </w:tr>
      <w:bookmarkEnd w:id="26"/>
      <w:tr w:rsidR="00FF48BB" w:rsidRPr="00934654" w14:paraId="12E939E0" w14:textId="77777777" w:rsidTr="00C8451C">
        <w:tc>
          <w:tcPr>
            <w:tcW w:w="1276" w:type="dxa"/>
          </w:tcPr>
          <w:p w14:paraId="2F3BFA38" w14:textId="0DB0C015" w:rsidR="00FF48BB" w:rsidRPr="00934654" w:rsidRDefault="00FF48BB" w:rsidP="00FF48BB">
            <w:pPr>
              <w:rPr>
                <w:rFonts w:ascii="Arial" w:hAnsi="Arial" w:cs="Arial"/>
              </w:rPr>
            </w:pPr>
            <w:r w:rsidRPr="00934654">
              <w:rPr>
                <w:rFonts w:ascii="Arial" w:hAnsi="Arial" w:cs="Arial"/>
              </w:rPr>
              <w:t>Direct</w:t>
            </w:r>
          </w:p>
        </w:tc>
        <w:tc>
          <w:tcPr>
            <w:tcW w:w="1208" w:type="dxa"/>
          </w:tcPr>
          <w:p w14:paraId="2AFAFF40" w14:textId="2FA75D29" w:rsidR="00FF48BB" w:rsidRPr="00934654" w:rsidRDefault="00FF48BB" w:rsidP="00FF48BB">
            <w:pPr>
              <w:rPr>
                <w:rFonts w:ascii="Arial" w:hAnsi="Arial" w:cs="Arial"/>
              </w:rPr>
            </w:pPr>
            <w:r w:rsidRPr="00934654">
              <w:rPr>
                <w:rFonts w:ascii="Arial" w:hAnsi="Arial" w:cs="Arial"/>
              </w:rPr>
              <w:t>3.1%</w:t>
            </w:r>
          </w:p>
        </w:tc>
        <w:tc>
          <w:tcPr>
            <w:tcW w:w="1209" w:type="dxa"/>
          </w:tcPr>
          <w:p w14:paraId="7A1F09F8" w14:textId="1E16BD04" w:rsidR="00FF48BB" w:rsidRPr="00934654" w:rsidRDefault="00FF48BB" w:rsidP="00FF48BB">
            <w:pPr>
              <w:rPr>
                <w:rFonts w:ascii="Arial" w:hAnsi="Arial" w:cs="Arial"/>
              </w:rPr>
            </w:pPr>
            <w:r w:rsidRPr="00934654">
              <w:rPr>
                <w:rFonts w:ascii="Arial" w:hAnsi="Arial" w:cs="Arial"/>
              </w:rPr>
              <w:t>2.4%</w:t>
            </w:r>
          </w:p>
        </w:tc>
        <w:tc>
          <w:tcPr>
            <w:tcW w:w="1209" w:type="dxa"/>
          </w:tcPr>
          <w:p w14:paraId="13CE797D" w14:textId="585C72D8" w:rsidR="00FF48BB" w:rsidRPr="00934654" w:rsidRDefault="00FF48BB" w:rsidP="00FF48BB">
            <w:pPr>
              <w:rPr>
                <w:rFonts w:ascii="Arial" w:hAnsi="Arial" w:cs="Arial"/>
              </w:rPr>
            </w:pPr>
            <w:r w:rsidRPr="00934654">
              <w:rPr>
                <w:rFonts w:ascii="Arial" w:hAnsi="Arial" w:cs="Arial"/>
              </w:rPr>
              <w:t>1.1%</w:t>
            </w:r>
          </w:p>
        </w:tc>
        <w:tc>
          <w:tcPr>
            <w:tcW w:w="1209" w:type="dxa"/>
          </w:tcPr>
          <w:p w14:paraId="731776C4" w14:textId="5EC96B8D" w:rsidR="00FF48BB" w:rsidRPr="00934654" w:rsidRDefault="00FF48BB" w:rsidP="00FF48BB">
            <w:pPr>
              <w:rPr>
                <w:rFonts w:ascii="Arial" w:hAnsi="Arial" w:cs="Arial"/>
              </w:rPr>
            </w:pPr>
            <w:r w:rsidRPr="00934654">
              <w:rPr>
                <w:rFonts w:ascii="Arial" w:hAnsi="Arial" w:cs="Arial"/>
              </w:rPr>
              <w:t>1.5%</w:t>
            </w:r>
          </w:p>
        </w:tc>
        <w:tc>
          <w:tcPr>
            <w:tcW w:w="1209" w:type="dxa"/>
          </w:tcPr>
          <w:p w14:paraId="66342C8B" w14:textId="7A59C09D" w:rsidR="00FF48BB" w:rsidRPr="00934654" w:rsidRDefault="00FF48BB" w:rsidP="00FF48BB">
            <w:pPr>
              <w:rPr>
                <w:rFonts w:ascii="Arial" w:hAnsi="Arial" w:cs="Arial"/>
              </w:rPr>
            </w:pPr>
            <w:r w:rsidRPr="00934654">
              <w:rPr>
                <w:rFonts w:ascii="Arial" w:hAnsi="Arial" w:cs="Arial"/>
              </w:rPr>
              <w:t>2.8%</w:t>
            </w:r>
          </w:p>
        </w:tc>
        <w:tc>
          <w:tcPr>
            <w:tcW w:w="1209" w:type="dxa"/>
          </w:tcPr>
          <w:p w14:paraId="7A9DCDB3" w14:textId="76E1BDCD" w:rsidR="00FF48BB" w:rsidRPr="00934654" w:rsidRDefault="00FF48BB" w:rsidP="00FF48BB">
            <w:pPr>
              <w:rPr>
                <w:rFonts w:ascii="Arial" w:hAnsi="Arial" w:cs="Arial"/>
              </w:rPr>
            </w:pPr>
            <w:r w:rsidRPr="00934654">
              <w:rPr>
                <w:rFonts w:ascii="Arial" w:hAnsi="Arial" w:cs="Arial"/>
              </w:rPr>
              <w:t>3.0%</w:t>
            </w:r>
          </w:p>
        </w:tc>
      </w:tr>
      <w:tr w:rsidR="00FF48BB" w:rsidRPr="00934654" w14:paraId="15CFEAFC" w14:textId="77777777" w:rsidTr="00C8451C">
        <w:tc>
          <w:tcPr>
            <w:tcW w:w="1276" w:type="dxa"/>
          </w:tcPr>
          <w:p w14:paraId="185E04F1" w14:textId="42921751" w:rsidR="00FF48BB" w:rsidRPr="00934654" w:rsidRDefault="00FF48BB" w:rsidP="00FF48BB">
            <w:pPr>
              <w:rPr>
                <w:rFonts w:ascii="Arial" w:hAnsi="Arial" w:cs="Arial"/>
              </w:rPr>
            </w:pPr>
            <w:r w:rsidRPr="00934654">
              <w:rPr>
                <w:rFonts w:ascii="Arial" w:hAnsi="Arial" w:cs="Arial"/>
              </w:rPr>
              <w:t>Indirect</w:t>
            </w:r>
          </w:p>
        </w:tc>
        <w:tc>
          <w:tcPr>
            <w:tcW w:w="1208" w:type="dxa"/>
          </w:tcPr>
          <w:p w14:paraId="69F05EBA" w14:textId="77C636B2" w:rsidR="00FF48BB" w:rsidRPr="00934654" w:rsidRDefault="00FF48BB" w:rsidP="00FF48BB">
            <w:pPr>
              <w:rPr>
                <w:rFonts w:ascii="Arial" w:hAnsi="Arial" w:cs="Arial"/>
              </w:rPr>
            </w:pPr>
            <w:r w:rsidRPr="00934654">
              <w:rPr>
                <w:rFonts w:ascii="Arial" w:hAnsi="Arial" w:cs="Arial"/>
              </w:rPr>
              <w:t>3.2%</w:t>
            </w:r>
          </w:p>
        </w:tc>
        <w:tc>
          <w:tcPr>
            <w:tcW w:w="1209" w:type="dxa"/>
          </w:tcPr>
          <w:p w14:paraId="456EE2DB" w14:textId="057BA589" w:rsidR="00FF48BB" w:rsidRPr="00934654" w:rsidRDefault="00FF48BB" w:rsidP="00FF48BB">
            <w:pPr>
              <w:rPr>
                <w:rFonts w:ascii="Arial" w:hAnsi="Arial" w:cs="Arial"/>
              </w:rPr>
            </w:pPr>
            <w:r w:rsidRPr="00934654">
              <w:rPr>
                <w:rFonts w:ascii="Arial" w:hAnsi="Arial" w:cs="Arial"/>
              </w:rPr>
              <w:t>2.6%</w:t>
            </w:r>
          </w:p>
        </w:tc>
        <w:tc>
          <w:tcPr>
            <w:tcW w:w="1209" w:type="dxa"/>
          </w:tcPr>
          <w:p w14:paraId="4A01CADE" w14:textId="17F8513E" w:rsidR="00FF48BB" w:rsidRPr="00934654" w:rsidRDefault="00FF48BB" w:rsidP="00FF48BB">
            <w:pPr>
              <w:rPr>
                <w:rFonts w:ascii="Arial" w:hAnsi="Arial" w:cs="Arial"/>
              </w:rPr>
            </w:pPr>
            <w:r w:rsidRPr="00934654">
              <w:rPr>
                <w:rFonts w:ascii="Arial" w:hAnsi="Arial" w:cs="Arial"/>
              </w:rPr>
              <w:t>1.3%</w:t>
            </w:r>
          </w:p>
        </w:tc>
        <w:tc>
          <w:tcPr>
            <w:tcW w:w="1209" w:type="dxa"/>
          </w:tcPr>
          <w:p w14:paraId="41D08249" w14:textId="4A157596" w:rsidR="00FF48BB" w:rsidRPr="00934654" w:rsidRDefault="00FF48BB" w:rsidP="00FF48BB">
            <w:pPr>
              <w:rPr>
                <w:rFonts w:ascii="Arial" w:hAnsi="Arial" w:cs="Arial"/>
              </w:rPr>
            </w:pPr>
            <w:r w:rsidRPr="00934654">
              <w:rPr>
                <w:rFonts w:ascii="Arial" w:hAnsi="Arial" w:cs="Arial"/>
              </w:rPr>
              <w:t>1.7%</w:t>
            </w:r>
          </w:p>
        </w:tc>
        <w:tc>
          <w:tcPr>
            <w:tcW w:w="1209" w:type="dxa"/>
          </w:tcPr>
          <w:p w14:paraId="772309FA" w14:textId="03086AE6" w:rsidR="00FF48BB" w:rsidRPr="00934654" w:rsidRDefault="00FF48BB" w:rsidP="00FF48BB">
            <w:pPr>
              <w:rPr>
                <w:rFonts w:ascii="Arial" w:hAnsi="Arial" w:cs="Arial"/>
              </w:rPr>
            </w:pPr>
            <w:r w:rsidRPr="00934654">
              <w:rPr>
                <w:rFonts w:ascii="Arial" w:hAnsi="Arial" w:cs="Arial"/>
              </w:rPr>
              <w:t>2.8%</w:t>
            </w:r>
          </w:p>
        </w:tc>
        <w:tc>
          <w:tcPr>
            <w:tcW w:w="1209" w:type="dxa"/>
          </w:tcPr>
          <w:p w14:paraId="1642A566" w14:textId="2A221590" w:rsidR="00FF48BB" w:rsidRPr="00934654" w:rsidRDefault="00FF48BB" w:rsidP="00FF48BB">
            <w:pPr>
              <w:rPr>
                <w:rFonts w:ascii="Arial" w:hAnsi="Arial" w:cs="Arial"/>
              </w:rPr>
            </w:pPr>
            <w:r w:rsidRPr="00934654">
              <w:rPr>
                <w:rFonts w:ascii="Arial" w:hAnsi="Arial" w:cs="Arial"/>
              </w:rPr>
              <w:t>3.0%</w:t>
            </w:r>
          </w:p>
        </w:tc>
      </w:tr>
      <w:tr w:rsidR="00FF48BB" w:rsidRPr="00934654" w14:paraId="57BE1BEC" w14:textId="77777777" w:rsidTr="00C8451C">
        <w:tc>
          <w:tcPr>
            <w:tcW w:w="1276" w:type="dxa"/>
          </w:tcPr>
          <w:p w14:paraId="64769079" w14:textId="4665E728" w:rsidR="00FF48BB" w:rsidRPr="00934654" w:rsidRDefault="00FF48BB" w:rsidP="00FF48BB">
            <w:pPr>
              <w:rPr>
                <w:rFonts w:ascii="Arial" w:hAnsi="Arial" w:cs="Arial"/>
              </w:rPr>
            </w:pPr>
            <w:r w:rsidRPr="00934654">
              <w:rPr>
                <w:rFonts w:ascii="Arial" w:hAnsi="Arial" w:cs="Arial"/>
              </w:rPr>
              <w:t xml:space="preserve">Total </w:t>
            </w:r>
          </w:p>
        </w:tc>
        <w:tc>
          <w:tcPr>
            <w:tcW w:w="1208" w:type="dxa"/>
          </w:tcPr>
          <w:p w14:paraId="33916460" w14:textId="7BC4A17E" w:rsidR="00FF48BB" w:rsidRPr="00934654" w:rsidRDefault="00FF48BB" w:rsidP="00FF48BB">
            <w:pPr>
              <w:rPr>
                <w:rFonts w:ascii="Arial" w:hAnsi="Arial" w:cs="Arial"/>
              </w:rPr>
            </w:pPr>
            <w:r w:rsidRPr="00934654">
              <w:rPr>
                <w:rFonts w:ascii="Arial" w:hAnsi="Arial" w:cs="Arial"/>
              </w:rPr>
              <w:t>6.3%</w:t>
            </w:r>
          </w:p>
        </w:tc>
        <w:tc>
          <w:tcPr>
            <w:tcW w:w="1209" w:type="dxa"/>
          </w:tcPr>
          <w:p w14:paraId="6BC4785C" w14:textId="279D77E1" w:rsidR="00FF48BB" w:rsidRPr="00934654" w:rsidRDefault="00FF48BB" w:rsidP="00FF48BB">
            <w:pPr>
              <w:rPr>
                <w:rFonts w:ascii="Arial" w:hAnsi="Arial" w:cs="Arial"/>
              </w:rPr>
            </w:pPr>
            <w:r w:rsidRPr="00934654">
              <w:rPr>
                <w:rFonts w:ascii="Arial" w:hAnsi="Arial" w:cs="Arial"/>
              </w:rPr>
              <w:t>5.0%</w:t>
            </w:r>
          </w:p>
        </w:tc>
        <w:tc>
          <w:tcPr>
            <w:tcW w:w="1209" w:type="dxa"/>
          </w:tcPr>
          <w:p w14:paraId="6B4A582E" w14:textId="088441C7" w:rsidR="00FF48BB" w:rsidRPr="00934654" w:rsidRDefault="00FF48BB" w:rsidP="00FF48BB">
            <w:pPr>
              <w:rPr>
                <w:rFonts w:ascii="Arial" w:hAnsi="Arial" w:cs="Arial"/>
              </w:rPr>
            </w:pPr>
            <w:r w:rsidRPr="00934654">
              <w:rPr>
                <w:rFonts w:ascii="Arial" w:hAnsi="Arial" w:cs="Arial"/>
              </w:rPr>
              <w:t>2.4%</w:t>
            </w:r>
          </w:p>
        </w:tc>
        <w:tc>
          <w:tcPr>
            <w:tcW w:w="1209" w:type="dxa"/>
          </w:tcPr>
          <w:p w14:paraId="1E25D92B" w14:textId="1DA1808F" w:rsidR="00FF48BB" w:rsidRPr="00934654" w:rsidRDefault="00FF48BB" w:rsidP="00FF48BB">
            <w:pPr>
              <w:rPr>
                <w:rFonts w:ascii="Arial" w:hAnsi="Arial" w:cs="Arial"/>
              </w:rPr>
            </w:pPr>
            <w:r w:rsidRPr="00934654">
              <w:rPr>
                <w:rFonts w:ascii="Arial" w:hAnsi="Arial" w:cs="Arial"/>
              </w:rPr>
              <w:t>3.2%</w:t>
            </w:r>
          </w:p>
        </w:tc>
        <w:tc>
          <w:tcPr>
            <w:tcW w:w="1209" w:type="dxa"/>
          </w:tcPr>
          <w:p w14:paraId="2D091539" w14:textId="07773B9C" w:rsidR="00FF48BB" w:rsidRPr="00934654" w:rsidRDefault="00FF48BB" w:rsidP="00FF48BB">
            <w:pPr>
              <w:rPr>
                <w:rFonts w:ascii="Arial" w:hAnsi="Arial" w:cs="Arial"/>
              </w:rPr>
            </w:pPr>
            <w:r w:rsidRPr="00934654">
              <w:rPr>
                <w:rFonts w:ascii="Arial" w:hAnsi="Arial" w:cs="Arial"/>
              </w:rPr>
              <w:t>5.6%</w:t>
            </w:r>
          </w:p>
        </w:tc>
        <w:tc>
          <w:tcPr>
            <w:tcW w:w="1209" w:type="dxa"/>
          </w:tcPr>
          <w:p w14:paraId="507FF3F0" w14:textId="391E8851" w:rsidR="00FF48BB" w:rsidRPr="00934654" w:rsidRDefault="00FF48BB" w:rsidP="00FF48BB">
            <w:pPr>
              <w:rPr>
                <w:rFonts w:ascii="Arial" w:hAnsi="Arial" w:cs="Arial"/>
              </w:rPr>
            </w:pPr>
            <w:r w:rsidRPr="00934654">
              <w:rPr>
                <w:rFonts w:ascii="Arial" w:hAnsi="Arial" w:cs="Arial"/>
              </w:rPr>
              <w:t>5.9%</w:t>
            </w:r>
          </w:p>
        </w:tc>
      </w:tr>
    </w:tbl>
    <w:p w14:paraId="55979463" w14:textId="1563BCC7" w:rsidR="004C4183" w:rsidRPr="00934654" w:rsidRDefault="00325CB6" w:rsidP="00A96C7F">
      <w:pPr>
        <w:pStyle w:val="Heading1"/>
        <w:rPr>
          <w:rFonts w:cs="Arial"/>
        </w:rPr>
      </w:pPr>
      <w:bookmarkStart w:id="27" w:name="_Toc194938460"/>
      <w:r w:rsidRPr="00934654">
        <w:rPr>
          <w:rFonts w:cs="Arial"/>
        </w:rPr>
        <w:t xml:space="preserve">4. </w:t>
      </w:r>
      <w:r w:rsidR="004C4183" w:rsidRPr="00934654">
        <w:rPr>
          <w:rFonts w:cs="Arial"/>
        </w:rPr>
        <w:t>Gross Value Added (GVA)</w:t>
      </w:r>
      <w:bookmarkEnd w:id="27"/>
    </w:p>
    <w:p w14:paraId="1F986223" w14:textId="28CAB85A" w:rsidR="00E826CF" w:rsidRPr="00934654" w:rsidRDefault="00236172" w:rsidP="00842370">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Tourism’s total contribution to Victoria’s GVA was worth $31.3 billion in 2023-24, an increase of $3.4 billion, up 12% from 2022-23.</w:t>
      </w:r>
    </w:p>
    <w:p w14:paraId="3EE89EC8" w14:textId="77777777" w:rsidR="001D062B" w:rsidRPr="00934654" w:rsidRDefault="001D062B"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lastRenderedPageBreak/>
        <w:t xml:space="preserve">The contribution of tourism to the Victorian economy is best measured by GVA which is also the best measure for comparisons to other industries. Tourism GVA measures the value of production exclusive of product taxes such as GST. </w:t>
      </w:r>
    </w:p>
    <w:p w14:paraId="7D203D10" w14:textId="0228181F" w:rsidR="001D062B" w:rsidRPr="00934654" w:rsidRDefault="001D062B"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The Victorian tourism industry directly accounted for $15.2 billion in GVA in 2023-24, noting an increase of 15% from 2022-23, which was 23% above the 2018-19 estimate. This accounted for 2.7% of direct industry GVA in Victoria during 2023-24, up from 2.5% in 2022-23 although down 0.2% points from 2018-19.</w:t>
      </w:r>
    </w:p>
    <w:p w14:paraId="58D389EB" w14:textId="18CB1A01" w:rsidR="001D062B" w:rsidRPr="00934654" w:rsidRDefault="00501B5F"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I</w:t>
      </w:r>
      <w:r w:rsidR="001D062B" w:rsidRPr="00934654">
        <w:rPr>
          <w:rFonts w:ascii="Arial" w:hAnsi="Arial" w:cs="Arial"/>
          <w:color w:val="auto"/>
          <w:sz w:val="23"/>
          <w:szCs w:val="23"/>
        </w:rPr>
        <w:t>n 2023-24 direct GVA in Victoria was largely made up of domestic travel worth $11.3 billion or 74.1% of direct GVA, reflecting the slower pace of recovery in the international sector. This comprised of:</w:t>
      </w:r>
    </w:p>
    <w:p w14:paraId="465EE6FE" w14:textId="16ADD167" w:rsidR="001D062B" w:rsidRPr="00934654" w:rsidRDefault="001D062B" w:rsidP="001D062B">
      <w:pPr>
        <w:pStyle w:val="Default"/>
        <w:numPr>
          <w:ilvl w:val="1"/>
          <w:numId w:val="2"/>
        </w:numPr>
        <w:spacing w:before="120" w:after="120"/>
        <w:rPr>
          <w:rFonts w:ascii="Arial" w:hAnsi="Arial" w:cs="Arial"/>
          <w:color w:val="auto"/>
          <w:sz w:val="23"/>
          <w:szCs w:val="23"/>
        </w:rPr>
      </w:pPr>
      <w:r w:rsidRPr="00934654">
        <w:rPr>
          <w:rFonts w:ascii="Arial" w:hAnsi="Arial" w:cs="Arial"/>
          <w:color w:val="auto"/>
          <w:sz w:val="23"/>
          <w:szCs w:val="23"/>
        </w:rPr>
        <w:t>Intrastate overnight travel - $5.2 billion (34.5%)</w:t>
      </w:r>
    </w:p>
    <w:p w14:paraId="41D08A52" w14:textId="25472866" w:rsidR="001D062B" w:rsidRPr="00934654" w:rsidRDefault="001D062B" w:rsidP="001D062B">
      <w:pPr>
        <w:pStyle w:val="Default"/>
        <w:numPr>
          <w:ilvl w:val="1"/>
          <w:numId w:val="2"/>
        </w:numPr>
        <w:spacing w:before="120" w:after="120"/>
        <w:rPr>
          <w:rFonts w:ascii="Arial" w:hAnsi="Arial" w:cs="Arial"/>
          <w:color w:val="auto"/>
          <w:sz w:val="23"/>
          <w:szCs w:val="23"/>
        </w:rPr>
      </w:pPr>
      <w:r w:rsidRPr="00934654">
        <w:rPr>
          <w:rFonts w:ascii="Arial" w:hAnsi="Arial" w:cs="Arial"/>
          <w:color w:val="auto"/>
          <w:sz w:val="23"/>
          <w:szCs w:val="23"/>
        </w:rPr>
        <w:t>Interstate overnight travel - $3.7 billion (24.6%)</w:t>
      </w:r>
    </w:p>
    <w:p w14:paraId="785742C7" w14:textId="77777777" w:rsidR="001D062B" w:rsidRPr="00934654" w:rsidRDefault="001D062B" w:rsidP="001D062B">
      <w:pPr>
        <w:pStyle w:val="Default"/>
        <w:numPr>
          <w:ilvl w:val="1"/>
          <w:numId w:val="2"/>
        </w:numPr>
        <w:spacing w:before="120" w:after="120"/>
        <w:rPr>
          <w:rFonts w:ascii="Arial" w:hAnsi="Arial" w:cs="Arial"/>
          <w:color w:val="auto"/>
          <w:sz w:val="23"/>
          <w:szCs w:val="23"/>
        </w:rPr>
      </w:pPr>
      <w:r w:rsidRPr="00934654">
        <w:rPr>
          <w:rFonts w:ascii="Arial" w:hAnsi="Arial" w:cs="Arial"/>
          <w:color w:val="auto"/>
          <w:sz w:val="23"/>
          <w:szCs w:val="23"/>
        </w:rPr>
        <w:t>Daytrips - $2.3 billion (15.1%)</w:t>
      </w:r>
    </w:p>
    <w:p w14:paraId="46A9C813" w14:textId="77777777" w:rsidR="001D062B" w:rsidRPr="00934654" w:rsidRDefault="001D062B"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 xml:space="preserve">International travel made up 25.9% of direct tourism GVA at $3.9 billion, rebounding from $2.3 billion in 2022-23, reflecting an uptick in the pace of recovery. However, this remained below its 2018-19 level of $4.1 billion. </w:t>
      </w:r>
    </w:p>
    <w:p w14:paraId="7A6D5D6F" w14:textId="77777777" w:rsidR="001D062B" w:rsidRPr="00934654" w:rsidRDefault="001D062B"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 xml:space="preserve">All domestic travel categories were well above the 2018-19 direct GVA levels although international remained 5.1% below the pre-pandemic result. This reflects the slower pace of recovery in international travel, which is yet to return to 2019 levels. </w:t>
      </w:r>
    </w:p>
    <w:p w14:paraId="50A6780A" w14:textId="77777777" w:rsidR="001D062B" w:rsidRPr="00934654" w:rsidRDefault="001D062B"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Tourism indirectly contributed an additional $16.1 billion to Victorian GVA. Therefore, tourism was worth $31.3 billion to Victoria’s economy in total GVA in 2023-24, noting an increase of 12% from 2022-23 and was up by 21% from 2018-19.</w:t>
      </w:r>
    </w:p>
    <w:p w14:paraId="1D57F645" w14:textId="77777777" w:rsidR="001D062B" w:rsidRPr="00934654" w:rsidRDefault="001D062B"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 xml:space="preserve">GVA in the whole of the Victorian economy grew 6% from 2022-23, which was half the rate of growth in tourism GVA (+12%), reinforcing the vital contribution that tourism makes to Victoria in supporting economic growth. </w:t>
      </w:r>
    </w:p>
    <w:p w14:paraId="44EE054C" w14:textId="77777777" w:rsidR="001D062B" w:rsidRPr="00934654" w:rsidRDefault="001D062B" w:rsidP="001D062B">
      <w:pPr>
        <w:pStyle w:val="Default"/>
        <w:numPr>
          <w:ilvl w:val="0"/>
          <w:numId w:val="2"/>
        </w:numPr>
        <w:spacing w:before="120" w:after="120"/>
        <w:rPr>
          <w:rFonts w:ascii="Arial" w:hAnsi="Arial" w:cs="Arial"/>
          <w:color w:val="auto"/>
          <w:sz w:val="23"/>
          <w:szCs w:val="23"/>
        </w:rPr>
      </w:pPr>
      <w:r w:rsidRPr="00934654">
        <w:rPr>
          <w:rFonts w:ascii="Arial" w:hAnsi="Arial" w:cs="Arial"/>
          <w:color w:val="auto"/>
          <w:sz w:val="23"/>
          <w:szCs w:val="23"/>
        </w:rPr>
        <w:t>Tourism’s total share of GVA in the Victorian economy was 5.6% in 2023-24, up from 5.3% in 2022-23, yet was below the 2018-19 result of 6.1%.</w:t>
      </w:r>
    </w:p>
    <w:p w14:paraId="21F649AE" w14:textId="22DE4AF3" w:rsidR="00E871DA" w:rsidRPr="00B82E1F" w:rsidRDefault="00325CB6" w:rsidP="001D062B">
      <w:pPr>
        <w:pStyle w:val="Heading2"/>
        <w:spacing w:before="240" w:after="120"/>
        <w:rPr>
          <w:rFonts w:ascii="Arial" w:hAnsi="Arial" w:cs="Arial"/>
          <w:color w:val="002060"/>
        </w:rPr>
      </w:pPr>
      <w:bookmarkStart w:id="28" w:name="_Toc194938461"/>
      <w:r w:rsidRPr="00B82E1F">
        <w:rPr>
          <w:rFonts w:ascii="Arial" w:hAnsi="Arial" w:cs="Arial"/>
          <w:color w:val="002060"/>
        </w:rPr>
        <w:t xml:space="preserve">4.1 </w:t>
      </w:r>
      <w:r w:rsidR="00827E20" w:rsidRPr="00B82E1F">
        <w:rPr>
          <w:rFonts w:ascii="Arial" w:hAnsi="Arial" w:cs="Arial"/>
          <w:color w:val="002060"/>
        </w:rPr>
        <w:t>D</w:t>
      </w:r>
      <w:r w:rsidR="005E50A2" w:rsidRPr="00B82E1F">
        <w:rPr>
          <w:rFonts w:ascii="Arial" w:hAnsi="Arial" w:cs="Arial"/>
          <w:color w:val="002060"/>
        </w:rPr>
        <w:t>ata table</w:t>
      </w:r>
      <w:bookmarkEnd w:id="28"/>
    </w:p>
    <w:p w14:paraId="0C4C207F" w14:textId="07968E9F" w:rsidR="00EE0909" w:rsidRPr="00934654" w:rsidRDefault="00325CB6" w:rsidP="009E1F07">
      <w:pPr>
        <w:pStyle w:val="Heading3"/>
        <w:spacing w:before="120" w:after="120"/>
        <w:rPr>
          <w:rFonts w:ascii="Arial" w:eastAsiaTheme="minorHAnsi" w:hAnsi="Arial" w:cs="Arial"/>
          <w:color w:val="002060"/>
        </w:rPr>
      </w:pPr>
      <w:r w:rsidRPr="00B82E1F">
        <w:rPr>
          <w:rFonts w:ascii="Arial" w:eastAsiaTheme="minorHAnsi" w:hAnsi="Arial" w:cs="Arial"/>
          <w:color w:val="002060"/>
        </w:rPr>
        <w:t xml:space="preserve">4.1.1 </w:t>
      </w:r>
      <w:r w:rsidR="00FD71BF" w:rsidRPr="00B82E1F">
        <w:rPr>
          <w:rFonts w:ascii="Arial" w:eastAsiaTheme="minorHAnsi" w:hAnsi="Arial" w:cs="Arial"/>
          <w:color w:val="002060"/>
        </w:rPr>
        <w:t xml:space="preserve">Tourism’s volume contribution to direct, indirect, and total </w:t>
      </w:r>
      <w:r w:rsidR="00FD71BF" w:rsidRPr="00934654">
        <w:rPr>
          <w:rFonts w:ascii="Arial" w:eastAsiaTheme="minorHAnsi" w:hAnsi="Arial" w:cs="Arial"/>
          <w:color w:val="002060"/>
        </w:rPr>
        <w:t xml:space="preserve">Victorian GVA </w:t>
      </w:r>
      <w:r w:rsidR="00B46E42" w:rsidRPr="00934654">
        <w:rPr>
          <w:rFonts w:ascii="Arial" w:eastAsiaTheme="minorHAnsi" w:hAnsi="Arial" w:cs="Arial"/>
          <w:color w:val="002060"/>
        </w:rPr>
        <w:t xml:space="preserve">from </w:t>
      </w:r>
      <w:r w:rsidR="00FD71BF" w:rsidRPr="00934654">
        <w:rPr>
          <w:rFonts w:ascii="Arial" w:eastAsiaTheme="minorHAnsi" w:hAnsi="Arial" w:cs="Arial"/>
          <w:color w:val="002060"/>
        </w:rPr>
        <w:t>201</w:t>
      </w:r>
      <w:r w:rsidR="009E1F07" w:rsidRPr="00934654">
        <w:rPr>
          <w:rFonts w:ascii="Arial" w:eastAsiaTheme="minorHAnsi" w:hAnsi="Arial" w:cs="Arial"/>
          <w:color w:val="002060"/>
        </w:rPr>
        <w:t>8</w:t>
      </w:r>
      <w:r w:rsidR="00FD71BF" w:rsidRPr="00934654">
        <w:rPr>
          <w:rFonts w:ascii="Arial" w:eastAsiaTheme="minorHAnsi" w:hAnsi="Arial" w:cs="Arial"/>
          <w:color w:val="002060"/>
        </w:rPr>
        <w:t>-1</w:t>
      </w:r>
      <w:r w:rsidR="009E1F07" w:rsidRPr="00934654">
        <w:rPr>
          <w:rFonts w:ascii="Arial" w:eastAsiaTheme="minorHAnsi" w:hAnsi="Arial" w:cs="Arial"/>
          <w:color w:val="002060"/>
        </w:rPr>
        <w:t>9</w:t>
      </w:r>
      <w:r w:rsidR="00FD71BF" w:rsidRPr="00934654">
        <w:rPr>
          <w:rFonts w:ascii="Arial" w:eastAsiaTheme="minorHAnsi" w:hAnsi="Arial" w:cs="Arial"/>
          <w:color w:val="002060"/>
        </w:rPr>
        <w:t xml:space="preserve"> to </w:t>
      </w:r>
      <w:r w:rsidR="00087CA3" w:rsidRPr="00934654">
        <w:rPr>
          <w:rFonts w:ascii="Arial" w:eastAsiaTheme="minorHAnsi" w:hAnsi="Arial" w:cs="Arial"/>
          <w:color w:val="002060"/>
        </w:rPr>
        <w:t>2023-24</w:t>
      </w:r>
    </w:p>
    <w:tbl>
      <w:tblPr>
        <w:tblStyle w:val="TableGrid"/>
        <w:tblpPr w:leftFromText="180" w:rightFromText="180" w:vertAnchor="page" w:horzAnchor="margin" w:tblpY="10981"/>
        <w:tblW w:w="8719" w:type="dxa"/>
        <w:tblLayout w:type="fixed"/>
        <w:tblLook w:val="04A0" w:firstRow="1" w:lastRow="0" w:firstColumn="1" w:lastColumn="0" w:noHBand="0" w:noVBand="1"/>
      </w:tblPr>
      <w:tblGrid>
        <w:gridCol w:w="1855"/>
        <w:gridCol w:w="1144"/>
        <w:gridCol w:w="1144"/>
        <w:gridCol w:w="1144"/>
        <w:gridCol w:w="1144"/>
        <w:gridCol w:w="1144"/>
        <w:gridCol w:w="1144"/>
      </w:tblGrid>
      <w:tr w:rsidR="009E1F07" w:rsidRPr="00934654" w14:paraId="034EA24E" w14:textId="77777777" w:rsidTr="004A2D9D">
        <w:trPr>
          <w:tblHeader/>
        </w:trPr>
        <w:tc>
          <w:tcPr>
            <w:tcW w:w="1855" w:type="dxa"/>
            <w:shd w:val="clear" w:color="auto" w:fill="D9D9D9" w:themeFill="background1" w:themeFillShade="D9"/>
          </w:tcPr>
          <w:p w14:paraId="2AC9CFB5" w14:textId="77777777" w:rsidR="009E1F07" w:rsidRPr="00934654" w:rsidRDefault="009E1F07" w:rsidP="004A2D9D">
            <w:pPr>
              <w:rPr>
                <w:rFonts w:ascii="Arial" w:hAnsi="Arial" w:cs="Arial"/>
              </w:rPr>
            </w:pPr>
            <w:bookmarkStart w:id="29" w:name="Title_4" w:colFirst="0" w:colLast="0"/>
            <w:r w:rsidRPr="00934654">
              <w:rPr>
                <w:rFonts w:ascii="Arial" w:hAnsi="Arial" w:cs="Arial"/>
                <w:b/>
                <w:bCs/>
              </w:rPr>
              <w:t>Measure</w:t>
            </w:r>
          </w:p>
        </w:tc>
        <w:tc>
          <w:tcPr>
            <w:tcW w:w="1144" w:type="dxa"/>
            <w:shd w:val="clear" w:color="auto" w:fill="D9D9D9" w:themeFill="background1" w:themeFillShade="D9"/>
          </w:tcPr>
          <w:p w14:paraId="1B32245A" w14:textId="77777777" w:rsidR="009E1F07" w:rsidRPr="00934654" w:rsidRDefault="009E1F07" w:rsidP="004A2D9D">
            <w:pPr>
              <w:rPr>
                <w:rFonts w:ascii="Arial" w:hAnsi="Arial" w:cs="Arial"/>
              </w:rPr>
            </w:pPr>
            <w:r w:rsidRPr="00934654">
              <w:rPr>
                <w:rFonts w:ascii="Arial" w:hAnsi="Arial" w:cs="Arial"/>
                <w:b/>
              </w:rPr>
              <w:t>2018-19</w:t>
            </w:r>
          </w:p>
        </w:tc>
        <w:tc>
          <w:tcPr>
            <w:tcW w:w="1144" w:type="dxa"/>
            <w:shd w:val="clear" w:color="auto" w:fill="D9D9D9" w:themeFill="background1" w:themeFillShade="D9"/>
          </w:tcPr>
          <w:p w14:paraId="6DA9631D" w14:textId="77777777" w:rsidR="009E1F07" w:rsidRPr="00934654" w:rsidRDefault="009E1F07" w:rsidP="004A2D9D">
            <w:pPr>
              <w:rPr>
                <w:rFonts w:ascii="Arial" w:hAnsi="Arial" w:cs="Arial"/>
              </w:rPr>
            </w:pPr>
            <w:r w:rsidRPr="00934654">
              <w:rPr>
                <w:rFonts w:ascii="Arial" w:hAnsi="Arial" w:cs="Arial"/>
                <w:b/>
              </w:rPr>
              <w:t>2019-20</w:t>
            </w:r>
          </w:p>
        </w:tc>
        <w:tc>
          <w:tcPr>
            <w:tcW w:w="1144" w:type="dxa"/>
            <w:shd w:val="clear" w:color="auto" w:fill="D9D9D9" w:themeFill="background1" w:themeFillShade="D9"/>
          </w:tcPr>
          <w:p w14:paraId="164C483F" w14:textId="77777777" w:rsidR="009E1F07" w:rsidRPr="00934654" w:rsidRDefault="009E1F07" w:rsidP="004A2D9D">
            <w:pPr>
              <w:rPr>
                <w:rFonts w:ascii="Arial" w:hAnsi="Arial" w:cs="Arial"/>
              </w:rPr>
            </w:pPr>
            <w:r w:rsidRPr="00934654">
              <w:rPr>
                <w:rFonts w:ascii="Arial" w:hAnsi="Arial" w:cs="Arial"/>
                <w:b/>
              </w:rPr>
              <w:t>2020-21</w:t>
            </w:r>
          </w:p>
        </w:tc>
        <w:tc>
          <w:tcPr>
            <w:tcW w:w="1144" w:type="dxa"/>
            <w:shd w:val="clear" w:color="auto" w:fill="D9D9D9" w:themeFill="background1" w:themeFillShade="D9"/>
          </w:tcPr>
          <w:p w14:paraId="077C6458" w14:textId="77777777" w:rsidR="009E1F07" w:rsidRPr="00934654" w:rsidRDefault="009E1F07" w:rsidP="004A2D9D">
            <w:pPr>
              <w:rPr>
                <w:rFonts w:ascii="Arial" w:hAnsi="Arial" w:cs="Arial"/>
              </w:rPr>
            </w:pPr>
            <w:r w:rsidRPr="00934654">
              <w:rPr>
                <w:rFonts w:ascii="Arial" w:hAnsi="Arial" w:cs="Arial"/>
                <w:b/>
              </w:rPr>
              <w:t>2021-22</w:t>
            </w:r>
          </w:p>
        </w:tc>
        <w:tc>
          <w:tcPr>
            <w:tcW w:w="1144" w:type="dxa"/>
            <w:shd w:val="clear" w:color="auto" w:fill="D9D9D9" w:themeFill="background1" w:themeFillShade="D9"/>
          </w:tcPr>
          <w:p w14:paraId="4A223413" w14:textId="77777777" w:rsidR="009E1F07" w:rsidRPr="00934654" w:rsidRDefault="009E1F07" w:rsidP="004A2D9D">
            <w:pPr>
              <w:rPr>
                <w:rFonts w:ascii="Arial" w:hAnsi="Arial" w:cs="Arial"/>
              </w:rPr>
            </w:pPr>
            <w:r w:rsidRPr="00934654">
              <w:rPr>
                <w:rFonts w:ascii="Arial" w:hAnsi="Arial" w:cs="Arial"/>
                <w:b/>
              </w:rPr>
              <w:t>2022-23</w:t>
            </w:r>
          </w:p>
        </w:tc>
        <w:tc>
          <w:tcPr>
            <w:tcW w:w="1144" w:type="dxa"/>
            <w:shd w:val="clear" w:color="auto" w:fill="D9D9D9" w:themeFill="background1" w:themeFillShade="D9"/>
          </w:tcPr>
          <w:p w14:paraId="1D3487E8" w14:textId="77777777" w:rsidR="009E1F07" w:rsidRPr="00934654" w:rsidRDefault="009E1F07" w:rsidP="004A2D9D">
            <w:pPr>
              <w:rPr>
                <w:rFonts w:ascii="Arial" w:hAnsi="Arial" w:cs="Arial"/>
              </w:rPr>
            </w:pPr>
            <w:r w:rsidRPr="00934654">
              <w:rPr>
                <w:rFonts w:ascii="Arial" w:hAnsi="Arial" w:cs="Arial"/>
                <w:b/>
              </w:rPr>
              <w:t>2023-24</w:t>
            </w:r>
          </w:p>
        </w:tc>
      </w:tr>
      <w:bookmarkEnd w:id="29"/>
      <w:tr w:rsidR="003962D7" w:rsidRPr="00934654" w14:paraId="6004D83E" w14:textId="77777777" w:rsidTr="004A2D9D">
        <w:tc>
          <w:tcPr>
            <w:tcW w:w="1855" w:type="dxa"/>
            <w:vAlign w:val="bottom"/>
          </w:tcPr>
          <w:p w14:paraId="7AB547B3" w14:textId="77777777" w:rsidR="003962D7" w:rsidRPr="00934654" w:rsidRDefault="003962D7" w:rsidP="004A2D9D">
            <w:pPr>
              <w:rPr>
                <w:rFonts w:ascii="Arial" w:hAnsi="Arial" w:cs="Arial"/>
              </w:rPr>
            </w:pPr>
            <w:r w:rsidRPr="00934654">
              <w:rPr>
                <w:rFonts w:ascii="Arial" w:hAnsi="Arial" w:cs="Arial"/>
              </w:rPr>
              <w:t>Direct GVA ($b)</w:t>
            </w:r>
          </w:p>
        </w:tc>
        <w:tc>
          <w:tcPr>
            <w:tcW w:w="1144" w:type="dxa"/>
          </w:tcPr>
          <w:p w14:paraId="178C952B" w14:textId="15A8FEE3" w:rsidR="003962D7" w:rsidRPr="00934654" w:rsidRDefault="003962D7" w:rsidP="004A2D9D">
            <w:pPr>
              <w:rPr>
                <w:rFonts w:ascii="Arial" w:hAnsi="Arial" w:cs="Arial"/>
              </w:rPr>
            </w:pPr>
            <w:r w:rsidRPr="00934654">
              <w:rPr>
                <w:rFonts w:ascii="Arial" w:hAnsi="Arial" w:cs="Arial"/>
              </w:rPr>
              <w:t>$12.4</w:t>
            </w:r>
          </w:p>
        </w:tc>
        <w:tc>
          <w:tcPr>
            <w:tcW w:w="1144" w:type="dxa"/>
          </w:tcPr>
          <w:p w14:paraId="074355D6" w14:textId="3374621C" w:rsidR="003962D7" w:rsidRPr="00934654" w:rsidRDefault="003962D7" w:rsidP="004A2D9D">
            <w:pPr>
              <w:rPr>
                <w:rFonts w:ascii="Arial" w:hAnsi="Arial" w:cs="Arial"/>
              </w:rPr>
            </w:pPr>
            <w:r w:rsidRPr="00934654">
              <w:rPr>
                <w:rFonts w:ascii="Arial" w:hAnsi="Arial" w:cs="Arial"/>
              </w:rPr>
              <w:t>$9.9</w:t>
            </w:r>
          </w:p>
        </w:tc>
        <w:tc>
          <w:tcPr>
            <w:tcW w:w="1144" w:type="dxa"/>
          </w:tcPr>
          <w:p w14:paraId="3D40A399" w14:textId="66910BFA" w:rsidR="003962D7" w:rsidRPr="00934654" w:rsidRDefault="003962D7" w:rsidP="004A2D9D">
            <w:pPr>
              <w:rPr>
                <w:rFonts w:ascii="Arial" w:hAnsi="Arial" w:cs="Arial"/>
              </w:rPr>
            </w:pPr>
            <w:r w:rsidRPr="00934654">
              <w:rPr>
                <w:rFonts w:ascii="Arial" w:hAnsi="Arial" w:cs="Arial"/>
              </w:rPr>
              <w:t>$4.4</w:t>
            </w:r>
          </w:p>
        </w:tc>
        <w:tc>
          <w:tcPr>
            <w:tcW w:w="1144" w:type="dxa"/>
          </w:tcPr>
          <w:p w14:paraId="73D0E88A" w14:textId="4BAEBA1E" w:rsidR="003962D7" w:rsidRPr="00934654" w:rsidRDefault="003962D7" w:rsidP="004A2D9D">
            <w:pPr>
              <w:rPr>
                <w:rFonts w:ascii="Arial" w:hAnsi="Arial" w:cs="Arial"/>
              </w:rPr>
            </w:pPr>
            <w:r w:rsidRPr="00934654">
              <w:rPr>
                <w:rFonts w:ascii="Arial" w:hAnsi="Arial" w:cs="Arial"/>
              </w:rPr>
              <w:t>$6.7</w:t>
            </w:r>
          </w:p>
        </w:tc>
        <w:tc>
          <w:tcPr>
            <w:tcW w:w="1144" w:type="dxa"/>
          </w:tcPr>
          <w:p w14:paraId="3075ECAC" w14:textId="3818E307" w:rsidR="003962D7" w:rsidRPr="00934654" w:rsidRDefault="003962D7" w:rsidP="004A2D9D">
            <w:pPr>
              <w:rPr>
                <w:rFonts w:ascii="Arial" w:hAnsi="Arial" w:cs="Arial"/>
              </w:rPr>
            </w:pPr>
            <w:r w:rsidRPr="00934654">
              <w:rPr>
                <w:rFonts w:ascii="Arial" w:hAnsi="Arial" w:cs="Arial"/>
              </w:rPr>
              <w:t>$13.2</w:t>
            </w:r>
          </w:p>
        </w:tc>
        <w:tc>
          <w:tcPr>
            <w:tcW w:w="1144" w:type="dxa"/>
          </w:tcPr>
          <w:p w14:paraId="370543BF" w14:textId="457C00A6" w:rsidR="003962D7" w:rsidRPr="00934654" w:rsidRDefault="003962D7" w:rsidP="004A2D9D">
            <w:pPr>
              <w:rPr>
                <w:rFonts w:ascii="Arial" w:hAnsi="Arial" w:cs="Arial"/>
              </w:rPr>
            </w:pPr>
            <w:r w:rsidRPr="00934654">
              <w:rPr>
                <w:rFonts w:ascii="Arial" w:hAnsi="Arial" w:cs="Arial"/>
              </w:rPr>
              <w:t>$15.2</w:t>
            </w:r>
          </w:p>
        </w:tc>
      </w:tr>
      <w:tr w:rsidR="003962D7" w:rsidRPr="00934654" w14:paraId="79C0B544" w14:textId="77777777" w:rsidTr="004A2D9D">
        <w:tc>
          <w:tcPr>
            <w:tcW w:w="1855" w:type="dxa"/>
            <w:vAlign w:val="bottom"/>
          </w:tcPr>
          <w:p w14:paraId="34E8A4E8" w14:textId="77777777" w:rsidR="003962D7" w:rsidRPr="00934654" w:rsidRDefault="003962D7" w:rsidP="004A2D9D">
            <w:pPr>
              <w:rPr>
                <w:rFonts w:ascii="Arial" w:hAnsi="Arial" w:cs="Arial"/>
              </w:rPr>
            </w:pPr>
            <w:r w:rsidRPr="00934654">
              <w:rPr>
                <w:rFonts w:ascii="Arial" w:hAnsi="Arial" w:cs="Arial"/>
              </w:rPr>
              <w:t>Indirect GVA ($b)</w:t>
            </w:r>
          </w:p>
        </w:tc>
        <w:tc>
          <w:tcPr>
            <w:tcW w:w="1144" w:type="dxa"/>
          </w:tcPr>
          <w:p w14:paraId="5C0B1EB6" w14:textId="29496B70" w:rsidR="003962D7" w:rsidRPr="00934654" w:rsidRDefault="003962D7" w:rsidP="004A2D9D">
            <w:pPr>
              <w:rPr>
                <w:rFonts w:ascii="Arial" w:hAnsi="Arial" w:cs="Arial"/>
              </w:rPr>
            </w:pPr>
            <w:r w:rsidRPr="00934654">
              <w:rPr>
                <w:rFonts w:ascii="Arial" w:hAnsi="Arial" w:cs="Arial"/>
              </w:rPr>
              <w:t>$13.4</w:t>
            </w:r>
          </w:p>
        </w:tc>
        <w:tc>
          <w:tcPr>
            <w:tcW w:w="1144" w:type="dxa"/>
          </w:tcPr>
          <w:p w14:paraId="31A6226E" w14:textId="4BC929EB" w:rsidR="003962D7" w:rsidRPr="00934654" w:rsidRDefault="003962D7" w:rsidP="004A2D9D">
            <w:pPr>
              <w:rPr>
                <w:rFonts w:ascii="Arial" w:hAnsi="Arial" w:cs="Arial"/>
              </w:rPr>
            </w:pPr>
            <w:r w:rsidRPr="00934654">
              <w:rPr>
                <w:rFonts w:ascii="Arial" w:hAnsi="Arial" w:cs="Arial"/>
              </w:rPr>
              <w:t>$10.8</w:t>
            </w:r>
          </w:p>
        </w:tc>
        <w:tc>
          <w:tcPr>
            <w:tcW w:w="1144" w:type="dxa"/>
          </w:tcPr>
          <w:p w14:paraId="4D83A888" w14:textId="37C34436" w:rsidR="003962D7" w:rsidRPr="00934654" w:rsidRDefault="003962D7" w:rsidP="004A2D9D">
            <w:pPr>
              <w:rPr>
                <w:rFonts w:ascii="Arial" w:hAnsi="Arial" w:cs="Arial"/>
              </w:rPr>
            </w:pPr>
            <w:r w:rsidRPr="00934654">
              <w:rPr>
                <w:rFonts w:ascii="Arial" w:hAnsi="Arial" w:cs="Arial"/>
              </w:rPr>
              <w:t>$5.4</w:t>
            </w:r>
          </w:p>
        </w:tc>
        <w:tc>
          <w:tcPr>
            <w:tcW w:w="1144" w:type="dxa"/>
          </w:tcPr>
          <w:p w14:paraId="4EE549B0" w14:textId="3CA2388E" w:rsidR="003962D7" w:rsidRPr="00934654" w:rsidRDefault="003962D7" w:rsidP="004A2D9D">
            <w:pPr>
              <w:rPr>
                <w:rFonts w:ascii="Arial" w:hAnsi="Arial" w:cs="Arial"/>
              </w:rPr>
            </w:pPr>
            <w:r w:rsidRPr="00934654">
              <w:rPr>
                <w:rFonts w:ascii="Arial" w:hAnsi="Arial" w:cs="Arial"/>
              </w:rPr>
              <w:t>$8.0</w:t>
            </w:r>
          </w:p>
        </w:tc>
        <w:tc>
          <w:tcPr>
            <w:tcW w:w="1144" w:type="dxa"/>
          </w:tcPr>
          <w:p w14:paraId="4D48CE70" w14:textId="2B5BFC16" w:rsidR="003962D7" w:rsidRPr="00934654" w:rsidRDefault="003962D7" w:rsidP="004A2D9D">
            <w:pPr>
              <w:rPr>
                <w:rFonts w:ascii="Arial" w:hAnsi="Arial" w:cs="Arial"/>
              </w:rPr>
            </w:pPr>
            <w:r w:rsidRPr="00934654">
              <w:rPr>
                <w:rFonts w:ascii="Arial" w:hAnsi="Arial" w:cs="Arial"/>
              </w:rPr>
              <w:t>$14.7</w:t>
            </w:r>
          </w:p>
        </w:tc>
        <w:tc>
          <w:tcPr>
            <w:tcW w:w="1144" w:type="dxa"/>
          </w:tcPr>
          <w:p w14:paraId="7D246EEF" w14:textId="4A6EB0D9" w:rsidR="003962D7" w:rsidRPr="00934654" w:rsidRDefault="003962D7" w:rsidP="004A2D9D">
            <w:pPr>
              <w:rPr>
                <w:rFonts w:ascii="Arial" w:hAnsi="Arial" w:cs="Arial"/>
              </w:rPr>
            </w:pPr>
            <w:r w:rsidRPr="00934654">
              <w:rPr>
                <w:rFonts w:ascii="Arial" w:hAnsi="Arial" w:cs="Arial"/>
              </w:rPr>
              <w:t>$16.1</w:t>
            </w:r>
          </w:p>
        </w:tc>
      </w:tr>
      <w:tr w:rsidR="003962D7" w:rsidRPr="00B82E1F" w14:paraId="21544B8C" w14:textId="77777777" w:rsidTr="004A2D9D">
        <w:tc>
          <w:tcPr>
            <w:tcW w:w="1855" w:type="dxa"/>
            <w:vAlign w:val="bottom"/>
          </w:tcPr>
          <w:p w14:paraId="70F6E803" w14:textId="77777777" w:rsidR="003962D7" w:rsidRPr="00934654" w:rsidRDefault="003962D7" w:rsidP="004A2D9D">
            <w:pPr>
              <w:rPr>
                <w:rFonts w:ascii="Arial" w:hAnsi="Arial" w:cs="Arial"/>
              </w:rPr>
            </w:pPr>
            <w:r w:rsidRPr="00934654">
              <w:rPr>
                <w:rFonts w:ascii="Arial" w:hAnsi="Arial" w:cs="Arial"/>
              </w:rPr>
              <w:t>Total GVA ($b)</w:t>
            </w:r>
          </w:p>
        </w:tc>
        <w:tc>
          <w:tcPr>
            <w:tcW w:w="1144" w:type="dxa"/>
          </w:tcPr>
          <w:p w14:paraId="4B2FB419" w14:textId="1DAE0386" w:rsidR="003962D7" w:rsidRPr="00934654" w:rsidRDefault="003962D7" w:rsidP="004A2D9D">
            <w:pPr>
              <w:rPr>
                <w:rFonts w:ascii="Arial" w:hAnsi="Arial" w:cs="Arial"/>
              </w:rPr>
            </w:pPr>
            <w:r w:rsidRPr="00934654">
              <w:rPr>
                <w:rFonts w:ascii="Arial" w:hAnsi="Arial" w:cs="Arial"/>
              </w:rPr>
              <w:t>$25.8</w:t>
            </w:r>
          </w:p>
        </w:tc>
        <w:tc>
          <w:tcPr>
            <w:tcW w:w="1144" w:type="dxa"/>
          </w:tcPr>
          <w:p w14:paraId="001D0A6A" w14:textId="37C9F543" w:rsidR="003962D7" w:rsidRPr="00934654" w:rsidRDefault="003962D7" w:rsidP="004A2D9D">
            <w:pPr>
              <w:rPr>
                <w:rFonts w:ascii="Arial" w:hAnsi="Arial" w:cs="Arial"/>
              </w:rPr>
            </w:pPr>
            <w:r w:rsidRPr="00934654">
              <w:rPr>
                <w:rFonts w:ascii="Arial" w:hAnsi="Arial" w:cs="Arial"/>
              </w:rPr>
              <w:t>$20.7</w:t>
            </w:r>
          </w:p>
        </w:tc>
        <w:tc>
          <w:tcPr>
            <w:tcW w:w="1144" w:type="dxa"/>
          </w:tcPr>
          <w:p w14:paraId="75252420" w14:textId="59D2CD0D" w:rsidR="003962D7" w:rsidRPr="00934654" w:rsidRDefault="003962D7" w:rsidP="004A2D9D">
            <w:pPr>
              <w:rPr>
                <w:rFonts w:ascii="Arial" w:hAnsi="Arial" w:cs="Arial"/>
              </w:rPr>
            </w:pPr>
            <w:r w:rsidRPr="00934654">
              <w:rPr>
                <w:rFonts w:ascii="Arial" w:hAnsi="Arial" w:cs="Arial"/>
              </w:rPr>
              <w:t>$9.8</w:t>
            </w:r>
          </w:p>
        </w:tc>
        <w:tc>
          <w:tcPr>
            <w:tcW w:w="1144" w:type="dxa"/>
          </w:tcPr>
          <w:p w14:paraId="2CE7D27E" w14:textId="07115108" w:rsidR="003962D7" w:rsidRPr="00934654" w:rsidRDefault="003962D7" w:rsidP="004A2D9D">
            <w:pPr>
              <w:rPr>
                <w:rFonts w:ascii="Arial" w:hAnsi="Arial" w:cs="Arial"/>
              </w:rPr>
            </w:pPr>
            <w:r w:rsidRPr="00934654">
              <w:rPr>
                <w:rFonts w:ascii="Arial" w:hAnsi="Arial" w:cs="Arial"/>
              </w:rPr>
              <w:t>$14.6</w:t>
            </w:r>
          </w:p>
        </w:tc>
        <w:tc>
          <w:tcPr>
            <w:tcW w:w="1144" w:type="dxa"/>
          </w:tcPr>
          <w:p w14:paraId="5482FF2B" w14:textId="3E5E4333" w:rsidR="003962D7" w:rsidRPr="00934654" w:rsidRDefault="003962D7" w:rsidP="004A2D9D">
            <w:pPr>
              <w:rPr>
                <w:rFonts w:ascii="Arial" w:hAnsi="Arial" w:cs="Arial"/>
              </w:rPr>
            </w:pPr>
            <w:r w:rsidRPr="00934654">
              <w:rPr>
                <w:rFonts w:ascii="Arial" w:hAnsi="Arial" w:cs="Arial"/>
              </w:rPr>
              <w:t>$27.9</w:t>
            </w:r>
          </w:p>
        </w:tc>
        <w:tc>
          <w:tcPr>
            <w:tcW w:w="1144" w:type="dxa"/>
          </w:tcPr>
          <w:p w14:paraId="4083F4D4" w14:textId="4144C435" w:rsidR="003962D7" w:rsidRPr="00934654" w:rsidRDefault="003962D7" w:rsidP="004A2D9D">
            <w:pPr>
              <w:rPr>
                <w:rFonts w:ascii="Arial" w:hAnsi="Arial" w:cs="Arial"/>
              </w:rPr>
            </w:pPr>
            <w:r w:rsidRPr="00934654">
              <w:rPr>
                <w:rFonts w:ascii="Arial" w:hAnsi="Arial" w:cs="Arial"/>
              </w:rPr>
              <w:t>$31.3</w:t>
            </w:r>
          </w:p>
        </w:tc>
      </w:tr>
    </w:tbl>
    <w:p w14:paraId="066B54C2" w14:textId="77777777" w:rsidR="009E1F07" w:rsidRDefault="009E1F07" w:rsidP="009E1F07"/>
    <w:p w14:paraId="6753B07E" w14:textId="77777777" w:rsidR="009E1F07" w:rsidRDefault="009E1F07" w:rsidP="009E1F07"/>
    <w:p w14:paraId="68906F7C" w14:textId="77777777" w:rsidR="009E1F07" w:rsidRDefault="009E1F07" w:rsidP="009E1F07"/>
    <w:p w14:paraId="7B1BCC38" w14:textId="3F99B2C0" w:rsidR="005F3AF7" w:rsidRPr="00B82E1F" w:rsidRDefault="00325CB6" w:rsidP="009B3F31">
      <w:pPr>
        <w:pStyle w:val="Heading1"/>
        <w:rPr>
          <w:rFonts w:cs="Arial"/>
        </w:rPr>
      </w:pPr>
      <w:bookmarkStart w:id="30" w:name="_Toc194938462"/>
      <w:r w:rsidRPr="00B82E1F">
        <w:rPr>
          <w:rFonts w:cs="Arial"/>
        </w:rPr>
        <w:t>5</w:t>
      </w:r>
      <w:r w:rsidRPr="00B82E1F">
        <w:rPr>
          <w:rFonts w:eastAsiaTheme="minorHAnsi" w:cs="Arial"/>
          <w:color w:val="auto"/>
        </w:rPr>
        <w:t xml:space="preserve">. </w:t>
      </w:r>
      <w:r w:rsidR="005F3AF7" w:rsidRPr="00B82E1F">
        <w:rPr>
          <w:rFonts w:cs="Arial"/>
        </w:rPr>
        <w:t xml:space="preserve">Tourism </w:t>
      </w:r>
      <w:r w:rsidR="008B0B12" w:rsidRPr="00B82E1F">
        <w:rPr>
          <w:rFonts w:cs="Arial"/>
        </w:rPr>
        <w:t>f</w:t>
      </w:r>
      <w:r w:rsidR="005F3AF7" w:rsidRPr="00B82E1F">
        <w:rPr>
          <w:rFonts w:cs="Arial"/>
        </w:rPr>
        <w:t xml:space="preserve">illed </w:t>
      </w:r>
      <w:r w:rsidR="000B7918" w:rsidRPr="00B82E1F">
        <w:rPr>
          <w:rFonts w:cs="Arial"/>
        </w:rPr>
        <w:t>j</w:t>
      </w:r>
      <w:r w:rsidR="005F3AF7" w:rsidRPr="00B82E1F">
        <w:rPr>
          <w:rFonts w:cs="Arial"/>
        </w:rPr>
        <w:t>obs</w:t>
      </w:r>
      <w:bookmarkEnd w:id="30"/>
    </w:p>
    <w:p w14:paraId="7CB7FC63" w14:textId="77777777" w:rsidR="00402B3E" w:rsidRPr="00B82E1F" w:rsidRDefault="00402B3E" w:rsidP="00402B3E">
      <w:pPr>
        <w:rPr>
          <w:sz w:val="8"/>
          <w:szCs w:val="8"/>
        </w:rPr>
      </w:pPr>
    </w:p>
    <w:p w14:paraId="0348FE2F" w14:textId="10EE1027" w:rsidR="00BD57F3" w:rsidRPr="00934654" w:rsidRDefault="00FE49F0" w:rsidP="00BD57F3">
      <w:pPr>
        <w:pStyle w:val="ListParagraph"/>
        <w:numPr>
          <w:ilvl w:val="0"/>
          <w:numId w:val="8"/>
        </w:numPr>
        <w:rPr>
          <w:rFonts w:ascii="Arial" w:hAnsi="Arial" w:cs="Arial"/>
          <w:sz w:val="23"/>
          <w:szCs w:val="23"/>
        </w:rPr>
      </w:pPr>
      <w:r w:rsidRPr="00934654">
        <w:rPr>
          <w:rFonts w:ascii="Arial" w:hAnsi="Arial" w:cs="Arial"/>
          <w:sz w:val="23"/>
          <w:szCs w:val="23"/>
        </w:rPr>
        <w:t>Direct tourism-filled jobs in Victoria increased in 2023-24 to reach 183,800, an increase of 12,600 jobs or up 7% from 2022-23.</w:t>
      </w:r>
      <w:r w:rsidR="00BD57F3" w:rsidRPr="00934654">
        <w:rPr>
          <w:rFonts w:ascii="Arial" w:hAnsi="Arial" w:cs="Arial"/>
          <w:sz w:val="23"/>
          <w:szCs w:val="23"/>
        </w:rPr>
        <w:t xml:space="preserve"> </w:t>
      </w:r>
    </w:p>
    <w:p w14:paraId="67D5ADCA" w14:textId="77777777" w:rsidR="00FE49F0" w:rsidRPr="00934654" w:rsidRDefault="00FE49F0" w:rsidP="00FE49F0">
      <w:pPr>
        <w:pStyle w:val="ListParagraph"/>
        <w:numPr>
          <w:ilvl w:val="0"/>
          <w:numId w:val="8"/>
        </w:numPr>
        <w:rPr>
          <w:rFonts w:ascii="Arial" w:hAnsi="Arial" w:cs="Arial"/>
          <w:sz w:val="23"/>
          <w:szCs w:val="23"/>
        </w:rPr>
      </w:pPr>
      <w:r w:rsidRPr="00934654">
        <w:rPr>
          <w:rFonts w:ascii="Arial" w:hAnsi="Arial" w:cs="Arial"/>
          <w:sz w:val="23"/>
          <w:szCs w:val="23"/>
        </w:rPr>
        <w:t>In 2023-24, tourism directly generated approximately 183,800 filled jobs in Victoria, up 7% from 2022-23 and 7% above the 2018-19 result. This comprised 4.5% of direct filled jobs in the state, up from 4.3% in 2022-23 (but 0.4% points lower than 2018-19).</w:t>
      </w:r>
    </w:p>
    <w:p w14:paraId="0B790124" w14:textId="77777777" w:rsidR="00FE49F0" w:rsidRPr="00E923A5" w:rsidRDefault="00FE49F0" w:rsidP="00FE49F0">
      <w:pPr>
        <w:pStyle w:val="ListParagraph"/>
        <w:numPr>
          <w:ilvl w:val="0"/>
          <w:numId w:val="8"/>
        </w:numPr>
        <w:rPr>
          <w:rFonts w:ascii="Arial" w:hAnsi="Arial" w:cs="Arial"/>
          <w:sz w:val="23"/>
          <w:szCs w:val="23"/>
        </w:rPr>
      </w:pPr>
      <w:r w:rsidRPr="00E923A5">
        <w:rPr>
          <w:rFonts w:ascii="Arial" w:hAnsi="Arial" w:cs="Arial"/>
          <w:sz w:val="23"/>
          <w:szCs w:val="23"/>
        </w:rPr>
        <w:lastRenderedPageBreak/>
        <w:t xml:space="preserve">Tourism generates jobs across many industries. Looking at the distribution of tourism jobs across Victorian industries, cafés, restaurants and takeaway food services (35.0%) accounted for the largest share of direct tourism-filled jobs, followed by accommodation (16.1%), retail trade (15.8%) and clubs, pubs, taverns and bars (7.2%). </w:t>
      </w:r>
    </w:p>
    <w:p w14:paraId="3C2D84FD" w14:textId="77777777" w:rsidR="00FE49F0" w:rsidRPr="00E923A5" w:rsidRDefault="00FE49F0" w:rsidP="00FE49F0">
      <w:pPr>
        <w:pStyle w:val="ListParagraph"/>
        <w:numPr>
          <w:ilvl w:val="0"/>
          <w:numId w:val="8"/>
        </w:numPr>
        <w:rPr>
          <w:rFonts w:ascii="Arial" w:hAnsi="Arial" w:cs="Arial"/>
          <w:sz w:val="23"/>
          <w:szCs w:val="23"/>
        </w:rPr>
      </w:pPr>
      <w:r w:rsidRPr="00E923A5">
        <w:rPr>
          <w:rFonts w:ascii="Arial" w:hAnsi="Arial" w:cs="Arial"/>
          <w:sz w:val="23"/>
          <w:szCs w:val="23"/>
        </w:rPr>
        <w:t>Direct filled jobs increased modestly from 2022-23 in cafes, restaurants and takeaway food services, accommodation, and clubs, pubs, taverns and bars (all +4%). The retail trade industry noted only marginal growth from 2022-23 (+1%), likely reflecting cost-of-living pressures that have curbed activity in these businesses.</w:t>
      </w:r>
    </w:p>
    <w:p w14:paraId="3953BF9E" w14:textId="77777777" w:rsidR="00FE49F0" w:rsidRPr="00E923A5" w:rsidRDefault="00FE49F0" w:rsidP="00FE49F0">
      <w:pPr>
        <w:pStyle w:val="ListParagraph"/>
        <w:numPr>
          <w:ilvl w:val="0"/>
          <w:numId w:val="8"/>
        </w:numPr>
        <w:rPr>
          <w:rFonts w:ascii="Arial" w:hAnsi="Arial" w:cs="Arial"/>
          <w:sz w:val="23"/>
          <w:szCs w:val="23"/>
        </w:rPr>
      </w:pPr>
      <w:r w:rsidRPr="00E923A5">
        <w:rPr>
          <w:rFonts w:ascii="Arial" w:hAnsi="Arial" w:cs="Arial"/>
          <w:sz w:val="23"/>
          <w:szCs w:val="23"/>
        </w:rPr>
        <w:t>Direct filled tourism jobs were well above 2018-19 levels in cafés, restaurants and takeaway food services (+20%), the accommodation sector (+15%) and clubs, pubs, taverns and bars (+7%), while retail trade jobs were on par with the 2018-19 result.</w:t>
      </w:r>
    </w:p>
    <w:p w14:paraId="5CEAE4D7" w14:textId="3443C15F" w:rsidR="00FE49F0" w:rsidRPr="00E923A5" w:rsidRDefault="00FE49F0" w:rsidP="00FE49F0">
      <w:pPr>
        <w:pStyle w:val="ListParagraph"/>
        <w:numPr>
          <w:ilvl w:val="0"/>
          <w:numId w:val="8"/>
        </w:numPr>
        <w:rPr>
          <w:rFonts w:ascii="Arial" w:hAnsi="Arial" w:cs="Arial"/>
          <w:sz w:val="23"/>
          <w:szCs w:val="23"/>
        </w:rPr>
      </w:pPr>
      <w:r w:rsidRPr="00E923A5">
        <w:rPr>
          <w:rFonts w:ascii="Arial" w:hAnsi="Arial" w:cs="Arial"/>
          <w:sz w:val="23"/>
          <w:szCs w:val="23"/>
        </w:rPr>
        <w:t xml:space="preserve">The distribution of full-time </w:t>
      </w:r>
      <w:r w:rsidR="00D17A66" w:rsidRPr="00E923A5">
        <w:rPr>
          <w:rFonts w:ascii="Arial" w:hAnsi="Arial" w:cs="Arial"/>
          <w:sz w:val="23"/>
          <w:szCs w:val="23"/>
        </w:rPr>
        <w:t xml:space="preserve">versus </w:t>
      </w:r>
      <w:r w:rsidRPr="00E923A5">
        <w:rPr>
          <w:rFonts w:ascii="Arial" w:hAnsi="Arial" w:cs="Arial"/>
          <w:sz w:val="23"/>
          <w:szCs w:val="23"/>
        </w:rPr>
        <w:t xml:space="preserve">part-time direct tourism-filled jobs by industry is noted in </w:t>
      </w:r>
      <w:r w:rsidR="00877C40" w:rsidRPr="00E923A5">
        <w:rPr>
          <w:rFonts w:ascii="Arial" w:hAnsi="Arial" w:cs="Arial"/>
          <w:sz w:val="23"/>
          <w:szCs w:val="23"/>
        </w:rPr>
        <w:t xml:space="preserve">table 9.6.1 </w:t>
      </w:r>
      <w:r w:rsidR="00457D06" w:rsidRPr="00E923A5">
        <w:rPr>
          <w:rFonts w:ascii="Arial" w:hAnsi="Arial" w:cs="Arial"/>
          <w:sz w:val="23"/>
          <w:szCs w:val="23"/>
        </w:rPr>
        <w:t xml:space="preserve">in </w:t>
      </w:r>
      <w:r w:rsidRPr="00E923A5">
        <w:rPr>
          <w:rFonts w:ascii="Arial" w:hAnsi="Arial" w:cs="Arial"/>
          <w:sz w:val="23"/>
          <w:szCs w:val="23"/>
        </w:rPr>
        <w:t xml:space="preserve">this report. Most part-time workers were noted in cafés, restaurants and takeaway food services (43.7%), followed by retail trade (15.8%) and accommodation (14.1%) industries. </w:t>
      </w:r>
    </w:p>
    <w:p w14:paraId="5A522B13" w14:textId="68532EF9" w:rsidR="00BD57F3" w:rsidRPr="00E923A5" w:rsidRDefault="00FE49F0" w:rsidP="00FE49F0">
      <w:pPr>
        <w:pStyle w:val="ListParagraph"/>
        <w:numPr>
          <w:ilvl w:val="0"/>
          <w:numId w:val="8"/>
        </w:numPr>
        <w:rPr>
          <w:rFonts w:ascii="Arial" w:hAnsi="Arial" w:cs="Arial"/>
          <w:sz w:val="23"/>
          <w:szCs w:val="23"/>
        </w:rPr>
      </w:pPr>
      <w:r w:rsidRPr="00E923A5">
        <w:rPr>
          <w:rFonts w:ascii="Arial" w:hAnsi="Arial" w:cs="Arial"/>
          <w:sz w:val="23"/>
          <w:szCs w:val="23"/>
        </w:rPr>
        <w:t>There was a higher share of full-time workers in most categories apart from cafés, restaurants and takeaway food services, clubs, pubs, taverns and bars, sports and recreation services and cultural services, which had higher shares of part-time workers, reflecting the casual nature of work in these industries</w:t>
      </w:r>
      <w:r w:rsidR="00BD57F3" w:rsidRPr="00E923A5">
        <w:rPr>
          <w:rFonts w:ascii="Arial" w:hAnsi="Arial" w:cs="Arial"/>
          <w:sz w:val="23"/>
          <w:szCs w:val="23"/>
        </w:rPr>
        <w:t>.</w:t>
      </w:r>
    </w:p>
    <w:p w14:paraId="0A726DD8" w14:textId="370B8A89" w:rsidR="00E871DA" w:rsidRPr="00E923A5" w:rsidRDefault="006307B2" w:rsidP="00313271">
      <w:pPr>
        <w:pStyle w:val="Heading2"/>
        <w:spacing w:before="240" w:after="120"/>
        <w:rPr>
          <w:rFonts w:ascii="Arial" w:eastAsiaTheme="minorHAnsi" w:hAnsi="Arial" w:cs="Arial"/>
          <w:color w:val="002060"/>
        </w:rPr>
      </w:pPr>
      <w:bookmarkStart w:id="31" w:name="_Toc194938463"/>
      <w:r w:rsidRPr="00E923A5">
        <w:rPr>
          <w:rFonts w:ascii="Arial" w:eastAsiaTheme="minorHAnsi" w:hAnsi="Arial" w:cs="Arial"/>
          <w:color w:val="002060"/>
        </w:rPr>
        <w:t xml:space="preserve">5.1 </w:t>
      </w:r>
      <w:r w:rsidR="00827E20" w:rsidRPr="00E923A5">
        <w:rPr>
          <w:rFonts w:ascii="Arial" w:eastAsiaTheme="minorHAnsi" w:hAnsi="Arial" w:cs="Arial"/>
          <w:color w:val="002060"/>
        </w:rPr>
        <w:t>D</w:t>
      </w:r>
      <w:r w:rsidR="009008B6" w:rsidRPr="00E923A5">
        <w:rPr>
          <w:rFonts w:ascii="Arial" w:eastAsiaTheme="minorHAnsi" w:hAnsi="Arial" w:cs="Arial"/>
          <w:color w:val="002060"/>
        </w:rPr>
        <w:t>ata table</w:t>
      </w:r>
      <w:bookmarkEnd w:id="31"/>
    </w:p>
    <w:p w14:paraId="17ED985F" w14:textId="295887DD" w:rsidR="0088215B" w:rsidRPr="00B82E1F" w:rsidRDefault="006307B2" w:rsidP="00313271">
      <w:pPr>
        <w:pStyle w:val="Heading3"/>
        <w:spacing w:before="240" w:after="120"/>
        <w:rPr>
          <w:rFonts w:ascii="Arial" w:eastAsiaTheme="minorHAnsi" w:hAnsi="Arial" w:cs="Arial"/>
          <w:color w:val="002060"/>
        </w:rPr>
      </w:pPr>
      <w:r w:rsidRPr="00E923A5">
        <w:rPr>
          <w:rFonts w:ascii="Arial" w:eastAsiaTheme="minorHAnsi" w:hAnsi="Arial" w:cs="Arial"/>
          <w:color w:val="002060"/>
        </w:rPr>
        <w:t xml:space="preserve">5.1.1 </w:t>
      </w:r>
      <w:r w:rsidR="00ED4C97" w:rsidRPr="00E923A5">
        <w:rPr>
          <w:rFonts w:ascii="Arial" w:eastAsiaTheme="minorHAnsi" w:hAnsi="Arial" w:cs="Arial"/>
          <w:color w:val="002060"/>
        </w:rPr>
        <w:t>Change in direct filled jobs by industry</w:t>
      </w:r>
      <w:r w:rsidR="00F9372F" w:rsidRPr="00E923A5">
        <w:rPr>
          <w:rFonts w:ascii="Arial" w:eastAsiaTheme="minorHAnsi" w:hAnsi="Arial" w:cs="Arial"/>
          <w:color w:val="002060"/>
        </w:rPr>
        <w:t>:</w:t>
      </w:r>
      <w:r w:rsidR="00ED4C97" w:rsidRPr="00E923A5">
        <w:rPr>
          <w:rFonts w:ascii="Arial" w:eastAsiaTheme="minorHAnsi" w:hAnsi="Arial" w:cs="Arial"/>
          <w:color w:val="002060"/>
        </w:rPr>
        <w:t xml:space="preserve"> </w:t>
      </w:r>
      <w:r w:rsidR="001111CF" w:rsidRPr="00E923A5">
        <w:rPr>
          <w:rFonts w:ascii="Arial" w:eastAsiaTheme="minorHAnsi" w:hAnsi="Arial" w:cs="Arial"/>
          <w:color w:val="002060"/>
        </w:rPr>
        <w:t>2022-23</w:t>
      </w:r>
      <w:r w:rsidR="0088215B" w:rsidRPr="00E923A5">
        <w:rPr>
          <w:rFonts w:ascii="Arial" w:eastAsiaTheme="minorHAnsi" w:hAnsi="Arial" w:cs="Arial"/>
          <w:color w:val="002060"/>
        </w:rPr>
        <w:t xml:space="preserve"> compared to </w:t>
      </w:r>
      <w:r w:rsidR="00087CA3" w:rsidRPr="00E923A5">
        <w:rPr>
          <w:rFonts w:ascii="Arial" w:eastAsiaTheme="minorHAnsi" w:hAnsi="Arial" w:cs="Arial"/>
          <w:color w:val="002060"/>
        </w:rPr>
        <w:t>2023-24</w:t>
      </w:r>
      <w:r w:rsidR="00ED4C97" w:rsidRPr="00E923A5">
        <w:rPr>
          <w:rFonts w:ascii="Arial" w:eastAsiaTheme="minorHAnsi" w:hAnsi="Arial" w:cs="Arial"/>
          <w:color w:val="002060"/>
        </w:rPr>
        <w:t xml:space="preserve"> and 2018-19</w:t>
      </w:r>
      <w:r w:rsidR="0088215B" w:rsidRPr="00E923A5">
        <w:rPr>
          <w:rFonts w:ascii="Arial" w:eastAsiaTheme="minorHAnsi" w:hAnsi="Arial" w:cs="Arial"/>
          <w:color w:val="002060"/>
        </w:rPr>
        <w:t xml:space="preserve"> compared to </w:t>
      </w:r>
      <w:r w:rsidR="00087CA3" w:rsidRPr="00E923A5">
        <w:rPr>
          <w:rFonts w:ascii="Arial" w:eastAsiaTheme="minorHAnsi" w:hAnsi="Arial" w:cs="Arial"/>
          <w:color w:val="002060"/>
        </w:rPr>
        <w:t>2023-24</w:t>
      </w:r>
    </w:p>
    <w:tbl>
      <w:tblPr>
        <w:tblStyle w:val="TableGrid"/>
        <w:tblpPr w:leftFromText="180" w:rightFromText="180" w:vertAnchor="text" w:horzAnchor="margin" w:tblpY="166"/>
        <w:tblW w:w="9498" w:type="dxa"/>
        <w:tblLook w:val="04A0" w:firstRow="1" w:lastRow="0" w:firstColumn="1" w:lastColumn="0" w:noHBand="0" w:noVBand="1"/>
      </w:tblPr>
      <w:tblGrid>
        <w:gridCol w:w="3114"/>
        <w:gridCol w:w="3118"/>
        <w:gridCol w:w="3266"/>
      </w:tblGrid>
      <w:tr w:rsidR="00BE6B93" w:rsidRPr="003C49F6" w14:paraId="06FA2D90" w14:textId="77777777" w:rsidTr="00630893">
        <w:trPr>
          <w:trHeight w:val="428"/>
          <w:tblHeader/>
        </w:trPr>
        <w:tc>
          <w:tcPr>
            <w:tcW w:w="3114" w:type="dxa"/>
            <w:tcBorders>
              <w:bottom w:val="nil"/>
            </w:tcBorders>
            <w:shd w:val="clear" w:color="auto" w:fill="E7E6E6" w:themeFill="background2"/>
          </w:tcPr>
          <w:p w14:paraId="1C83E09A" w14:textId="77777777" w:rsidR="00BE6B93" w:rsidRPr="003C49F6" w:rsidRDefault="00BE6B93" w:rsidP="00BE6B93">
            <w:pPr>
              <w:rPr>
                <w:rFonts w:ascii="Arial" w:hAnsi="Arial" w:cs="Arial"/>
                <w:b/>
                <w:bCs/>
              </w:rPr>
            </w:pPr>
            <w:bookmarkStart w:id="32" w:name="Title_5" w:colFirst="0" w:colLast="0"/>
            <w:r w:rsidRPr="003C49F6">
              <w:rPr>
                <w:rFonts w:ascii="Arial" w:hAnsi="Arial" w:cs="Arial"/>
                <w:b/>
                <w:bCs/>
              </w:rPr>
              <w:t xml:space="preserve">Industry </w:t>
            </w:r>
          </w:p>
        </w:tc>
        <w:tc>
          <w:tcPr>
            <w:tcW w:w="3118" w:type="dxa"/>
            <w:tcBorders>
              <w:bottom w:val="nil"/>
            </w:tcBorders>
            <w:shd w:val="clear" w:color="auto" w:fill="E7E6E6" w:themeFill="background2"/>
          </w:tcPr>
          <w:p w14:paraId="0A4C22B4" w14:textId="77777777" w:rsidR="00BE6B93" w:rsidRPr="003C49F6" w:rsidRDefault="00BE6B93" w:rsidP="00BE6B93">
            <w:pPr>
              <w:rPr>
                <w:rFonts w:ascii="Arial" w:hAnsi="Arial" w:cs="Arial"/>
                <w:b/>
                <w:bCs/>
              </w:rPr>
            </w:pPr>
            <w:r w:rsidRPr="003C49F6">
              <w:rPr>
                <w:rFonts w:ascii="Arial" w:hAnsi="Arial" w:cs="Arial"/>
                <w:b/>
                <w:bCs/>
              </w:rPr>
              <w:t>Year on year change</w:t>
            </w:r>
          </w:p>
        </w:tc>
        <w:tc>
          <w:tcPr>
            <w:tcW w:w="3266" w:type="dxa"/>
            <w:tcBorders>
              <w:bottom w:val="nil"/>
            </w:tcBorders>
            <w:shd w:val="clear" w:color="auto" w:fill="E7E6E6" w:themeFill="background2"/>
          </w:tcPr>
          <w:p w14:paraId="25DC140E" w14:textId="5922F275" w:rsidR="00BE6B93" w:rsidRPr="003C49F6" w:rsidRDefault="00630893" w:rsidP="00BE6B93">
            <w:pPr>
              <w:rPr>
                <w:rFonts w:ascii="Arial" w:hAnsi="Arial" w:cs="Arial"/>
                <w:b/>
                <w:bCs/>
              </w:rPr>
            </w:pPr>
            <w:r w:rsidRPr="003C49F6">
              <w:rPr>
                <w:rFonts w:ascii="Arial" w:hAnsi="Arial" w:cs="Arial"/>
                <w:b/>
                <w:bCs/>
              </w:rPr>
              <w:t>C</w:t>
            </w:r>
            <w:r w:rsidR="00BE6B93" w:rsidRPr="003C49F6">
              <w:rPr>
                <w:rFonts w:ascii="Arial" w:hAnsi="Arial" w:cs="Arial"/>
                <w:b/>
                <w:bCs/>
              </w:rPr>
              <w:t>hange</w:t>
            </w:r>
            <w:r w:rsidRPr="003C49F6">
              <w:rPr>
                <w:rFonts w:ascii="Arial" w:hAnsi="Arial" w:cs="Arial"/>
                <w:b/>
                <w:bCs/>
              </w:rPr>
              <w:t xml:space="preserve"> compared to 2018-19</w:t>
            </w:r>
          </w:p>
        </w:tc>
      </w:tr>
      <w:bookmarkEnd w:id="32"/>
      <w:tr w:rsidR="00BE6B93" w:rsidRPr="003C49F6" w14:paraId="4E4B5810" w14:textId="77777777" w:rsidTr="00630893">
        <w:tc>
          <w:tcPr>
            <w:tcW w:w="3114" w:type="dxa"/>
            <w:shd w:val="clear" w:color="auto" w:fill="E7E6E6" w:themeFill="background2"/>
          </w:tcPr>
          <w:p w14:paraId="46B2A3EF" w14:textId="5CB92249" w:rsidR="00BE6B93" w:rsidRPr="003C49F6" w:rsidRDefault="00BE6B93" w:rsidP="00BE6B93">
            <w:pPr>
              <w:rPr>
                <w:rFonts w:ascii="Arial" w:hAnsi="Arial" w:cs="Arial"/>
                <w:b/>
                <w:bCs/>
              </w:rPr>
            </w:pPr>
            <w:r w:rsidRPr="003C49F6">
              <w:rPr>
                <w:rFonts w:ascii="Arial" w:hAnsi="Arial" w:cs="Arial"/>
              </w:rPr>
              <w:t xml:space="preserve">Cafes, restaurants </w:t>
            </w:r>
            <w:r w:rsidR="00F070AD" w:rsidRPr="003C49F6">
              <w:rPr>
                <w:rFonts w:ascii="Arial" w:hAnsi="Arial" w:cs="Arial"/>
              </w:rPr>
              <w:t xml:space="preserve">and </w:t>
            </w:r>
            <w:r w:rsidRPr="003C49F6">
              <w:rPr>
                <w:rFonts w:ascii="Arial" w:hAnsi="Arial" w:cs="Arial"/>
              </w:rPr>
              <w:t xml:space="preserve">takeaway food services </w:t>
            </w:r>
          </w:p>
        </w:tc>
        <w:tc>
          <w:tcPr>
            <w:tcW w:w="3118" w:type="dxa"/>
          </w:tcPr>
          <w:p w14:paraId="4E47F19F" w14:textId="233077B3" w:rsidR="00BE6B93" w:rsidRPr="003C49F6" w:rsidRDefault="00BE6B93" w:rsidP="00BE6B93">
            <w:pPr>
              <w:rPr>
                <w:rFonts w:ascii="Arial" w:hAnsi="Arial" w:cs="Arial"/>
              </w:rPr>
            </w:pPr>
            <w:r w:rsidRPr="003C49F6">
              <w:rPr>
                <w:rFonts w:ascii="Arial" w:hAnsi="Arial" w:cs="Arial"/>
              </w:rPr>
              <w:t xml:space="preserve">Increased </w:t>
            </w:r>
            <w:r w:rsidR="00691F13" w:rsidRPr="003C49F6">
              <w:rPr>
                <w:rFonts w:ascii="Arial" w:hAnsi="Arial" w:cs="Arial"/>
              </w:rPr>
              <w:t>4</w:t>
            </w:r>
            <w:r w:rsidRPr="003C49F6">
              <w:rPr>
                <w:rFonts w:ascii="Arial" w:hAnsi="Arial" w:cs="Arial"/>
              </w:rPr>
              <w:t xml:space="preserve">% compared to </w:t>
            </w:r>
            <w:r w:rsidR="001111CF" w:rsidRPr="003C49F6">
              <w:rPr>
                <w:rFonts w:ascii="Arial" w:hAnsi="Arial" w:cs="Arial"/>
              </w:rPr>
              <w:t>2022-23</w:t>
            </w:r>
            <w:r w:rsidRPr="003C49F6">
              <w:rPr>
                <w:rFonts w:ascii="Arial" w:hAnsi="Arial" w:cs="Arial"/>
              </w:rPr>
              <w:t xml:space="preserve"> financial year </w:t>
            </w:r>
          </w:p>
        </w:tc>
        <w:tc>
          <w:tcPr>
            <w:tcW w:w="3266" w:type="dxa"/>
          </w:tcPr>
          <w:p w14:paraId="390D4CE2" w14:textId="4EBB7349" w:rsidR="00BE6B93" w:rsidRPr="003C49F6" w:rsidRDefault="00691F13" w:rsidP="00BE6B93">
            <w:pPr>
              <w:rPr>
                <w:rFonts w:ascii="Arial" w:hAnsi="Arial" w:cs="Arial"/>
              </w:rPr>
            </w:pPr>
            <w:r w:rsidRPr="003C49F6">
              <w:rPr>
                <w:rFonts w:ascii="Arial" w:hAnsi="Arial" w:cs="Arial"/>
              </w:rPr>
              <w:t>In</w:t>
            </w:r>
            <w:r w:rsidR="00BE6B93" w:rsidRPr="003C49F6">
              <w:rPr>
                <w:rFonts w:ascii="Arial" w:hAnsi="Arial" w:cs="Arial"/>
              </w:rPr>
              <w:t xml:space="preserve">creased </w:t>
            </w:r>
            <w:r w:rsidRPr="003C49F6">
              <w:rPr>
                <w:rFonts w:ascii="Arial" w:hAnsi="Arial" w:cs="Arial"/>
              </w:rPr>
              <w:t>20</w:t>
            </w:r>
            <w:r w:rsidR="00BE6B93" w:rsidRPr="003C49F6">
              <w:rPr>
                <w:rFonts w:ascii="Arial" w:hAnsi="Arial" w:cs="Arial"/>
              </w:rPr>
              <w:t xml:space="preserve">% compared to 2018-19 financial year </w:t>
            </w:r>
          </w:p>
        </w:tc>
      </w:tr>
      <w:tr w:rsidR="00691F13" w:rsidRPr="003C49F6" w14:paraId="606FFE24" w14:textId="77777777" w:rsidTr="00630893">
        <w:tc>
          <w:tcPr>
            <w:tcW w:w="3114" w:type="dxa"/>
            <w:shd w:val="clear" w:color="auto" w:fill="E7E6E6" w:themeFill="background2"/>
          </w:tcPr>
          <w:p w14:paraId="78EA67DE" w14:textId="14F20047" w:rsidR="00691F13" w:rsidRPr="003C49F6" w:rsidRDefault="00691F13" w:rsidP="00691F13">
            <w:pPr>
              <w:rPr>
                <w:rFonts w:ascii="Arial" w:hAnsi="Arial" w:cs="Arial"/>
              </w:rPr>
            </w:pPr>
            <w:r w:rsidRPr="003C49F6">
              <w:rPr>
                <w:rFonts w:ascii="Arial" w:hAnsi="Arial" w:cs="Arial"/>
              </w:rPr>
              <w:t xml:space="preserve">Accommodation </w:t>
            </w:r>
          </w:p>
        </w:tc>
        <w:tc>
          <w:tcPr>
            <w:tcW w:w="3118" w:type="dxa"/>
          </w:tcPr>
          <w:p w14:paraId="539FB5C5" w14:textId="62E0B3B3" w:rsidR="00691F13" w:rsidRPr="003C49F6" w:rsidRDefault="00691F13" w:rsidP="00691F13">
            <w:pPr>
              <w:rPr>
                <w:rFonts w:ascii="Arial" w:hAnsi="Arial" w:cs="Arial"/>
              </w:rPr>
            </w:pPr>
            <w:r w:rsidRPr="003C49F6">
              <w:rPr>
                <w:rFonts w:ascii="Arial" w:hAnsi="Arial" w:cs="Arial"/>
              </w:rPr>
              <w:t>Increased 4% compared to 2022-23 financial year</w:t>
            </w:r>
          </w:p>
        </w:tc>
        <w:tc>
          <w:tcPr>
            <w:tcW w:w="3266" w:type="dxa"/>
          </w:tcPr>
          <w:p w14:paraId="310D25CD" w14:textId="63ECB44E" w:rsidR="00691F13" w:rsidRPr="003C49F6" w:rsidRDefault="00691F13" w:rsidP="00691F13">
            <w:pPr>
              <w:rPr>
                <w:rFonts w:ascii="Arial" w:hAnsi="Arial" w:cs="Arial"/>
              </w:rPr>
            </w:pPr>
            <w:r w:rsidRPr="003C49F6">
              <w:rPr>
                <w:rFonts w:ascii="Arial" w:hAnsi="Arial" w:cs="Arial"/>
              </w:rPr>
              <w:t xml:space="preserve">Increased 15% compared to 2018-19 financial year </w:t>
            </w:r>
          </w:p>
        </w:tc>
      </w:tr>
      <w:tr w:rsidR="00691F13" w:rsidRPr="003C49F6" w14:paraId="55C812D2" w14:textId="77777777" w:rsidTr="00630893">
        <w:trPr>
          <w:trHeight w:val="635"/>
        </w:trPr>
        <w:tc>
          <w:tcPr>
            <w:tcW w:w="3114" w:type="dxa"/>
            <w:shd w:val="clear" w:color="auto" w:fill="E7E6E6" w:themeFill="background2"/>
          </w:tcPr>
          <w:p w14:paraId="3B7E2F1C" w14:textId="77777777" w:rsidR="00691F13" w:rsidRPr="003C49F6" w:rsidRDefault="00691F13" w:rsidP="00691F13">
            <w:pPr>
              <w:rPr>
                <w:rFonts w:ascii="Arial" w:hAnsi="Arial" w:cs="Arial"/>
                <w:b/>
                <w:bCs/>
              </w:rPr>
            </w:pPr>
            <w:r w:rsidRPr="003C49F6">
              <w:rPr>
                <w:rFonts w:ascii="Arial" w:hAnsi="Arial" w:cs="Arial"/>
              </w:rPr>
              <w:t xml:space="preserve">Retail trade </w:t>
            </w:r>
          </w:p>
        </w:tc>
        <w:tc>
          <w:tcPr>
            <w:tcW w:w="3118" w:type="dxa"/>
          </w:tcPr>
          <w:p w14:paraId="72E22215" w14:textId="1AB554D2" w:rsidR="00691F13" w:rsidRPr="003C49F6" w:rsidRDefault="00691F13" w:rsidP="00691F13">
            <w:pPr>
              <w:rPr>
                <w:rFonts w:ascii="Arial" w:hAnsi="Arial" w:cs="Arial"/>
              </w:rPr>
            </w:pPr>
            <w:r w:rsidRPr="003C49F6">
              <w:rPr>
                <w:rFonts w:ascii="Arial" w:hAnsi="Arial" w:cs="Arial"/>
              </w:rPr>
              <w:t>Increased 1% compared to 2022-23 financial year</w:t>
            </w:r>
          </w:p>
        </w:tc>
        <w:tc>
          <w:tcPr>
            <w:tcW w:w="3266" w:type="dxa"/>
          </w:tcPr>
          <w:p w14:paraId="68426275" w14:textId="416F460D" w:rsidR="00691F13" w:rsidRPr="003C49F6" w:rsidRDefault="00691F13" w:rsidP="00691F13">
            <w:pPr>
              <w:rPr>
                <w:rFonts w:ascii="Arial" w:hAnsi="Arial" w:cs="Arial"/>
              </w:rPr>
            </w:pPr>
            <w:r w:rsidRPr="003C49F6">
              <w:rPr>
                <w:rFonts w:ascii="Arial" w:hAnsi="Arial" w:cs="Arial"/>
              </w:rPr>
              <w:t xml:space="preserve">No change compared to 2018-19 financial year </w:t>
            </w:r>
          </w:p>
        </w:tc>
      </w:tr>
      <w:tr w:rsidR="00691F13" w:rsidRPr="003C49F6" w14:paraId="55964606" w14:textId="77777777" w:rsidTr="00630893">
        <w:trPr>
          <w:trHeight w:val="629"/>
        </w:trPr>
        <w:tc>
          <w:tcPr>
            <w:tcW w:w="3114" w:type="dxa"/>
            <w:shd w:val="clear" w:color="auto" w:fill="E7E6E6" w:themeFill="background2"/>
          </w:tcPr>
          <w:p w14:paraId="46BE044C" w14:textId="45652C00" w:rsidR="00691F13" w:rsidRPr="003C49F6" w:rsidRDefault="00691F13" w:rsidP="00691F13">
            <w:pPr>
              <w:rPr>
                <w:rFonts w:ascii="Arial" w:hAnsi="Arial" w:cs="Arial"/>
                <w:b/>
                <w:bCs/>
              </w:rPr>
            </w:pPr>
            <w:r w:rsidRPr="003C49F6">
              <w:rPr>
                <w:rFonts w:ascii="Arial" w:hAnsi="Arial" w:cs="Arial"/>
              </w:rPr>
              <w:t xml:space="preserve">Clubs, pubs, taverns and bars </w:t>
            </w:r>
          </w:p>
        </w:tc>
        <w:tc>
          <w:tcPr>
            <w:tcW w:w="3118" w:type="dxa"/>
          </w:tcPr>
          <w:p w14:paraId="02B7AB62" w14:textId="63914F94" w:rsidR="00691F13" w:rsidRPr="003C49F6" w:rsidRDefault="00691F13" w:rsidP="00691F13">
            <w:pPr>
              <w:rPr>
                <w:rFonts w:ascii="Arial" w:hAnsi="Arial" w:cs="Arial"/>
              </w:rPr>
            </w:pPr>
            <w:r w:rsidRPr="003C49F6">
              <w:rPr>
                <w:rFonts w:ascii="Arial" w:hAnsi="Arial" w:cs="Arial"/>
              </w:rPr>
              <w:t xml:space="preserve">Increased 4% compared to 2022-23 financial year </w:t>
            </w:r>
          </w:p>
        </w:tc>
        <w:tc>
          <w:tcPr>
            <w:tcW w:w="3266" w:type="dxa"/>
          </w:tcPr>
          <w:p w14:paraId="5B3684EC" w14:textId="52498A59" w:rsidR="00691F13" w:rsidRPr="003C49F6" w:rsidRDefault="00691F13" w:rsidP="00691F13">
            <w:pPr>
              <w:rPr>
                <w:rFonts w:ascii="Arial" w:hAnsi="Arial" w:cs="Arial"/>
              </w:rPr>
            </w:pPr>
            <w:r w:rsidRPr="003C49F6">
              <w:rPr>
                <w:rFonts w:ascii="Arial" w:hAnsi="Arial" w:cs="Arial"/>
              </w:rPr>
              <w:t xml:space="preserve">Increased 7% compared to 2018-19 financial year </w:t>
            </w:r>
          </w:p>
        </w:tc>
      </w:tr>
      <w:tr w:rsidR="00691F13" w:rsidRPr="003C49F6" w14:paraId="07A339AF" w14:textId="77777777" w:rsidTr="00630893">
        <w:trPr>
          <w:trHeight w:val="657"/>
        </w:trPr>
        <w:tc>
          <w:tcPr>
            <w:tcW w:w="3114" w:type="dxa"/>
            <w:shd w:val="clear" w:color="auto" w:fill="E7E6E6" w:themeFill="background2"/>
          </w:tcPr>
          <w:p w14:paraId="0109416E" w14:textId="77777777" w:rsidR="00691F13" w:rsidRPr="003C49F6" w:rsidRDefault="00691F13" w:rsidP="00691F13">
            <w:pPr>
              <w:rPr>
                <w:rFonts w:ascii="Arial" w:hAnsi="Arial" w:cs="Arial"/>
                <w:b/>
                <w:bCs/>
              </w:rPr>
            </w:pPr>
            <w:r w:rsidRPr="003C49F6">
              <w:rPr>
                <w:rFonts w:ascii="Arial" w:hAnsi="Arial" w:cs="Arial"/>
              </w:rPr>
              <w:t>Other</w:t>
            </w:r>
          </w:p>
        </w:tc>
        <w:tc>
          <w:tcPr>
            <w:tcW w:w="3118" w:type="dxa"/>
          </w:tcPr>
          <w:p w14:paraId="5B1FC5FE" w14:textId="716F2BAB" w:rsidR="00691F13" w:rsidRPr="003C49F6" w:rsidRDefault="00691F13" w:rsidP="00691F13">
            <w:pPr>
              <w:rPr>
                <w:rFonts w:ascii="Arial" w:hAnsi="Arial" w:cs="Arial"/>
              </w:rPr>
            </w:pPr>
            <w:r w:rsidRPr="003C49F6">
              <w:rPr>
                <w:rFonts w:ascii="Arial" w:hAnsi="Arial" w:cs="Arial"/>
              </w:rPr>
              <w:t>Increased 22% compared to 2022-23 financial year</w:t>
            </w:r>
          </w:p>
        </w:tc>
        <w:tc>
          <w:tcPr>
            <w:tcW w:w="3266" w:type="dxa"/>
          </w:tcPr>
          <w:p w14:paraId="6CFB817B" w14:textId="6B118E85" w:rsidR="00691F13" w:rsidRPr="003C49F6" w:rsidRDefault="00691F13" w:rsidP="00691F13">
            <w:pPr>
              <w:rPr>
                <w:rFonts w:ascii="Arial" w:hAnsi="Arial" w:cs="Arial"/>
              </w:rPr>
            </w:pPr>
            <w:r w:rsidRPr="003C49F6">
              <w:rPr>
                <w:rFonts w:ascii="Arial" w:hAnsi="Arial" w:cs="Arial"/>
              </w:rPr>
              <w:t xml:space="preserve">Decreased 6% compared to 2018-19 financial year </w:t>
            </w:r>
          </w:p>
        </w:tc>
      </w:tr>
    </w:tbl>
    <w:p w14:paraId="423DB416" w14:textId="77777777" w:rsidR="00086B6D" w:rsidRPr="003C49F6" w:rsidRDefault="00086B6D" w:rsidP="001849BC">
      <w:pPr>
        <w:pStyle w:val="NoSpacing"/>
        <w:rPr>
          <w:rFonts w:ascii="Arial" w:hAnsi="Arial" w:cs="Arial"/>
        </w:rPr>
      </w:pPr>
    </w:p>
    <w:p w14:paraId="609C6EC2" w14:textId="77777777" w:rsidR="00C124A2" w:rsidRPr="003C49F6" w:rsidRDefault="00C124A2" w:rsidP="00C124A2">
      <w:pPr>
        <w:pStyle w:val="ListParagraph"/>
        <w:numPr>
          <w:ilvl w:val="0"/>
          <w:numId w:val="8"/>
        </w:numPr>
        <w:rPr>
          <w:rFonts w:ascii="Arial" w:hAnsi="Arial" w:cs="Arial"/>
          <w:sz w:val="23"/>
          <w:szCs w:val="23"/>
        </w:rPr>
      </w:pPr>
      <w:r w:rsidRPr="003C49F6">
        <w:rPr>
          <w:rFonts w:ascii="Arial" w:hAnsi="Arial" w:cs="Arial"/>
          <w:sz w:val="23"/>
          <w:szCs w:val="23"/>
        </w:rPr>
        <w:t xml:space="preserve">The indirect component of tourism-filled jobs in Victoria noted an increase of 10% compared to 2022-23 to reach 105,000. This was 17% above the 2018-19 estimate. </w:t>
      </w:r>
    </w:p>
    <w:p w14:paraId="6C51E935" w14:textId="77777777" w:rsidR="00C124A2" w:rsidRPr="003C49F6" w:rsidRDefault="00C124A2" w:rsidP="00C124A2">
      <w:pPr>
        <w:pStyle w:val="ListParagraph"/>
        <w:numPr>
          <w:ilvl w:val="0"/>
          <w:numId w:val="8"/>
        </w:numPr>
        <w:rPr>
          <w:rFonts w:ascii="Arial" w:hAnsi="Arial" w:cs="Arial"/>
          <w:sz w:val="23"/>
          <w:szCs w:val="23"/>
        </w:rPr>
      </w:pPr>
      <w:r w:rsidRPr="003C49F6">
        <w:rPr>
          <w:rFonts w:ascii="Arial" w:hAnsi="Arial" w:cs="Arial"/>
          <w:sz w:val="23"/>
          <w:szCs w:val="23"/>
        </w:rPr>
        <w:t>The indirect share of tourism-filled jobs in Victoria increased from 2.4% in 2022-23 to 2.6% in 2023-24, which was just above the 2018-19 estimate of 2.5%.</w:t>
      </w:r>
    </w:p>
    <w:p w14:paraId="1D6C8334" w14:textId="2A040430" w:rsidR="00C124A2" w:rsidRPr="003C49F6" w:rsidRDefault="00C124A2" w:rsidP="00C124A2">
      <w:pPr>
        <w:pStyle w:val="ListParagraph"/>
        <w:numPr>
          <w:ilvl w:val="0"/>
          <w:numId w:val="8"/>
        </w:numPr>
        <w:rPr>
          <w:rFonts w:ascii="Arial" w:hAnsi="Arial" w:cs="Arial"/>
          <w:sz w:val="23"/>
          <w:szCs w:val="23"/>
        </w:rPr>
      </w:pPr>
      <w:r w:rsidRPr="003C49F6">
        <w:rPr>
          <w:rFonts w:ascii="Arial" w:hAnsi="Arial" w:cs="Arial"/>
          <w:sz w:val="23"/>
          <w:szCs w:val="23"/>
        </w:rPr>
        <w:t xml:space="preserve">In total, 288,800 tourism-filled jobs were recorded in 2023-24, </w:t>
      </w:r>
      <w:r w:rsidR="002C6718" w:rsidRPr="003C49F6">
        <w:rPr>
          <w:rFonts w:ascii="Arial" w:hAnsi="Arial" w:cs="Arial"/>
          <w:sz w:val="23"/>
          <w:szCs w:val="23"/>
        </w:rPr>
        <w:t xml:space="preserve">reaching a record high, and </w:t>
      </w:r>
      <w:r w:rsidRPr="003C49F6">
        <w:rPr>
          <w:rFonts w:ascii="Arial" w:hAnsi="Arial" w:cs="Arial"/>
          <w:sz w:val="23"/>
          <w:szCs w:val="23"/>
        </w:rPr>
        <w:t xml:space="preserve">up 8% compared to 2022-23 and 10% higher than the 2018-19 estimate. </w:t>
      </w:r>
    </w:p>
    <w:p w14:paraId="66F2198F" w14:textId="77777777" w:rsidR="00C124A2" w:rsidRPr="003C49F6" w:rsidRDefault="00C124A2" w:rsidP="00C124A2">
      <w:pPr>
        <w:pStyle w:val="ListParagraph"/>
        <w:numPr>
          <w:ilvl w:val="0"/>
          <w:numId w:val="8"/>
        </w:numPr>
        <w:rPr>
          <w:rFonts w:ascii="Arial" w:hAnsi="Arial" w:cs="Arial"/>
          <w:sz w:val="23"/>
          <w:szCs w:val="23"/>
        </w:rPr>
      </w:pPr>
      <w:r w:rsidRPr="003C49F6">
        <w:rPr>
          <w:rFonts w:ascii="Arial" w:hAnsi="Arial" w:cs="Arial"/>
          <w:sz w:val="23"/>
          <w:szCs w:val="23"/>
        </w:rPr>
        <w:t xml:space="preserve">In comparison, filled jobs in the Victorian economy overall grew by 3% from 2022-23 to 2023-24, reinforcing the importance of tourism as a key job generator for the state. </w:t>
      </w:r>
    </w:p>
    <w:p w14:paraId="70CB8193" w14:textId="77777777" w:rsidR="00C124A2" w:rsidRPr="003C49F6" w:rsidRDefault="00C124A2" w:rsidP="00C124A2">
      <w:pPr>
        <w:pStyle w:val="ListParagraph"/>
        <w:numPr>
          <w:ilvl w:val="0"/>
          <w:numId w:val="8"/>
        </w:numPr>
        <w:rPr>
          <w:rFonts w:ascii="Arial" w:hAnsi="Arial" w:cs="Arial"/>
          <w:sz w:val="23"/>
          <w:szCs w:val="23"/>
        </w:rPr>
      </w:pPr>
      <w:r w:rsidRPr="003C49F6">
        <w:rPr>
          <w:rFonts w:ascii="Arial" w:hAnsi="Arial" w:cs="Arial"/>
          <w:sz w:val="23"/>
          <w:szCs w:val="23"/>
        </w:rPr>
        <w:lastRenderedPageBreak/>
        <w:t>Tourism’s share of overall filled jobs in Victoria was 7.1% in 2023-24 which was above the 2022-23 result of 6.7%, but below the 2018-19 estimate of 7.4%.</w:t>
      </w:r>
    </w:p>
    <w:p w14:paraId="16C73752" w14:textId="46097D63" w:rsidR="005D5005" w:rsidRPr="003C49F6" w:rsidRDefault="00C124A2" w:rsidP="00C124A2">
      <w:pPr>
        <w:pStyle w:val="ListParagraph"/>
        <w:numPr>
          <w:ilvl w:val="0"/>
          <w:numId w:val="8"/>
        </w:numPr>
        <w:rPr>
          <w:rFonts w:ascii="Arial" w:hAnsi="Arial" w:cs="Arial"/>
          <w:sz w:val="23"/>
          <w:szCs w:val="23"/>
        </w:rPr>
      </w:pPr>
      <w:r w:rsidRPr="003C49F6">
        <w:rPr>
          <w:rFonts w:ascii="Arial" w:hAnsi="Arial" w:cs="Arial"/>
          <w:sz w:val="23"/>
          <w:szCs w:val="23"/>
        </w:rPr>
        <w:t>Direct tourism jobs in Victoria were evenly split between full-time and part-time roles at 50% each in 2023–24, highlighting tourism's key role in providing flexible employment opportunities.</w:t>
      </w:r>
    </w:p>
    <w:p w14:paraId="16B8CF8A" w14:textId="090EC5CE" w:rsidR="00805AE9" w:rsidRPr="003C49F6" w:rsidRDefault="006307B2" w:rsidP="005D5005">
      <w:pPr>
        <w:pStyle w:val="Heading2"/>
        <w:spacing w:before="240" w:after="120"/>
        <w:rPr>
          <w:rFonts w:ascii="Arial" w:eastAsiaTheme="minorHAnsi" w:hAnsi="Arial" w:cs="Arial"/>
          <w:color w:val="002060"/>
        </w:rPr>
      </w:pPr>
      <w:bookmarkStart w:id="33" w:name="_Toc194938464"/>
      <w:r w:rsidRPr="003C49F6">
        <w:rPr>
          <w:rFonts w:ascii="Arial" w:eastAsiaTheme="minorHAnsi" w:hAnsi="Arial" w:cs="Arial"/>
          <w:color w:val="002060"/>
        </w:rPr>
        <w:t xml:space="preserve">5.2 </w:t>
      </w:r>
      <w:r w:rsidR="00AC4245" w:rsidRPr="003C49F6">
        <w:rPr>
          <w:rFonts w:ascii="Arial" w:eastAsiaTheme="minorHAnsi" w:hAnsi="Arial" w:cs="Arial"/>
          <w:color w:val="002060"/>
        </w:rPr>
        <w:t>Time series data tables</w:t>
      </w:r>
      <w:bookmarkEnd w:id="33"/>
    </w:p>
    <w:p w14:paraId="22457E06" w14:textId="127B3DC4" w:rsidR="00905836" w:rsidRPr="00B82E1F" w:rsidRDefault="006307B2" w:rsidP="00313271">
      <w:pPr>
        <w:pStyle w:val="Heading3"/>
        <w:spacing w:before="240" w:after="120"/>
        <w:rPr>
          <w:rFonts w:ascii="Arial" w:eastAsiaTheme="minorHAnsi" w:hAnsi="Arial" w:cs="Arial"/>
          <w:color w:val="002060"/>
        </w:rPr>
      </w:pPr>
      <w:r w:rsidRPr="003C49F6">
        <w:rPr>
          <w:rFonts w:ascii="Arial" w:eastAsiaTheme="minorHAnsi" w:hAnsi="Arial" w:cs="Arial"/>
          <w:color w:val="002060"/>
        </w:rPr>
        <w:t xml:space="preserve">5.2.1 </w:t>
      </w:r>
      <w:r w:rsidR="005D28DB" w:rsidRPr="003C49F6">
        <w:rPr>
          <w:rFonts w:ascii="Arial" w:eastAsiaTheme="minorHAnsi" w:hAnsi="Arial" w:cs="Arial"/>
          <w:color w:val="002060"/>
        </w:rPr>
        <w:t>D</w:t>
      </w:r>
      <w:r w:rsidR="00905836" w:rsidRPr="003C49F6">
        <w:rPr>
          <w:rFonts w:ascii="Arial" w:eastAsiaTheme="minorHAnsi" w:hAnsi="Arial" w:cs="Arial"/>
          <w:color w:val="002060"/>
        </w:rPr>
        <w:t>irect, indirect, and total Victorian</w:t>
      </w:r>
      <w:r w:rsidR="005D28DB" w:rsidRPr="003C49F6">
        <w:rPr>
          <w:rFonts w:ascii="Arial" w:eastAsiaTheme="minorHAnsi" w:hAnsi="Arial" w:cs="Arial"/>
          <w:color w:val="002060"/>
        </w:rPr>
        <w:t xml:space="preserve"> tourism filled jobs</w:t>
      </w:r>
      <w:r w:rsidR="00905836" w:rsidRPr="003C49F6">
        <w:rPr>
          <w:rFonts w:ascii="Arial" w:eastAsiaTheme="minorHAnsi" w:hAnsi="Arial" w:cs="Arial"/>
          <w:color w:val="002060"/>
        </w:rPr>
        <w:t xml:space="preserve"> from 201</w:t>
      </w:r>
      <w:r w:rsidR="003A71F6" w:rsidRPr="003C49F6">
        <w:rPr>
          <w:rFonts w:ascii="Arial" w:eastAsiaTheme="minorHAnsi" w:hAnsi="Arial" w:cs="Arial"/>
          <w:color w:val="002060"/>
        </w:rPr>
        <w:t>8</w:t>
      </w:r>
      <w:r w:rsidR="00407F70" w:rsidRPr="003C49F6">
        <w:rPr>
          <w:rFonts w:ascii="Arial" w:eastAsiaTheme="minorHAnsi" w:hAnsi="Arial" w:cs="Arial"/>
          <w:color w:val="002060"/>
        </w:rPr>
        <w:t>-1</w:t>
      </w:r>
      <w:r w:rsidR="003A71F6" w:rsidRPr="003C49F6">
        <w:rPr>
          <w:rFonts w:ascii="Arial" w:eastAsiaTheme="minorHAnsi" w:hAnsi="Arial" w:cs="Arial"/>
          <w:color w:val="002060"/>
        </w:rPr>
        <w:t>9</w:t>
      </w:r>
      <w:r w:rsidR="00407F70" w:rsidRPr="003C49F6">
        <w:rPr>
          <w:rFonts w:ascii="Arial" w:eastAsiaTheme="minorHAnsi" w:hAnsi="Arial" w:cs="Arial"/>
          <w:color w:val="002060"/>
        </w:rPr>
        <w:t xml:space="preserve"> </w:t>
      </w:r>
      <w:r w:rsidR="00905836" w:rsidRPr="003C49F6">
        <w:rPr>
          <w:rFonts w:ascii="Arial" w:eastAsiaTheme="minorHAnsi" w:hAnsi="Arial" w:cs="Arial"/>
          <w:color w:val="002060"/>
        </w:rPr>
        <w:t xml:space="preserve">to </w:t>
      </w:r>
      <w:r w:rsidR="00087CA3" w:rsidRPr="003C49F6">
        <w:rPr>
          <w:rFonts w:ascii="Arial" w:eastAsiaTheme="minorHAnsi" w:hAnsi="Arial" w:cs="Arial"/>
          <w:color w:val="002060"/>
        </w:rPr>
        <w:t>2023-24</w:t>
      </w:r>
      <w:r w:rsidR="00905836" w:rsidRPr="00B82E1F">
        <w:rPr>
          <w:rFonts w:ascii="Arial" w:eastAsiaTheme="minorHAnsi" w:hAnsi="Arial" w:cs="Arial"/>
          <w:color w:val="002060"/>
        </w:rPr>
        <w:t xml:space="preserve"> </w:t>
      </w:r>
    </w:p>
    <w:p w14:paraId="356CBE5E" w14:textId="77777777" w:rsidR="00407F70" w:rsidRPr="00B82E1F" w:rsidRDefault="00407F70" w:rsidP="00407F70">
      <w:pPr>
        <w:rPr>
          <w:sz w:val="2"/>
          <w:szCs w:val="2"/>
        </w:rPr>
      </w:pPr>
    </w:p>
    <w:tbl>
      <w:tblPr>
        <w:tblStyle w:val="TableGrid"/>
        <w:tblW w:w="8719" w:type="dxa"/>
        <w:tblLayout w:type="fixed"/>
        <w:tblLook w:val="04A0" w:firstRow="1" w:lastRow="0" w:firstColumn="1" w:lastColumn="0" w:noHBand="0" w:noVBand="1"/>
      </w:tblPr>
      <w:tblGrid>
        <w:gridCol w:w="1855"/>
        <w:gridCol w:w="1144"/>
        <w:gridCol w:w="1144"/>
        <w:gridCol w:w="1144"/>
        <w:gridCol w:w="1144"/>
        <w:gridCol w:w="1144"/>
        <w:gridCol w:w="1144"/>
      </w:tblGrid>
      <w:tr w:rsidR="006E0C91" w:rsidRPr="003C49F6" w14:paraId="27ED9CA2" w14:textId="77777777" w:rsidTr="00A65001">
        <w:trPr>
          <w:tblHeader/>
        </w:trPr>
        <w:tc>
          <w:tcPr>
            <w:tcW w:w="1855" w:type="dxa"/>
            <w:shd w:val="clear" w:color="auto" w:fill="D9D9D9" w:themeFill="background1" w:themeFillShade="D9"/>
          </w:tcPr>
          <w:p w14:paraId="30423516" w14:textId="77777777" w:rsidR="006E0C91" w:rsidRPr="003C49F6" w:rsidRDefault="006E0C91" w:rsidP="006E0C91">
            <w:pPr>
              <w:rPr>
                <w:rFonts w:ascii="Arial" w:hAnsi="Arial" w:cs="Arial"/>
              </w:rPr>
            </w:pPr>
            <w:bookmarkStart w:id="34" w:name="Title_6" w:colFirst="0" w:colLast="0"/>
            <w:r w:rsidRPr="003C49F6">
              <w:rPr>
                <w:rFonts w:ascii="Arial" w:hAnsi="Arial" w:cs="Arial"/>
                <w:b/>
                <w:bCs/>
              </w:rPr>
              <w:t>Measure</w:t>
            </w:r>
          </w:p>
        </w:tc>
        <w:tc>
          <w:tcPr>
            <w:tcW w:w="1144" w:type="dxa"/>
            <w:shd w:val="clear" w:color="auto" w:fill="D9D9D9" w:themeFill="background1" w:themeFillShade="D9"/>
          </w:tcPr>
          <w:p w14:paraId="76FB640E" w14:textId="7E303379" w:rsidR="006E0C91" w:rsidRPr="003C49F6" w:rsidRDefault="006E0C91" w:rsidP="006E0C91">
            <w:pPr>
              <w:rPr>
                <w:rFonts w:ascii="Arial" w:hAnsi="Arial" w:cs="Arial"/>
                <w:b/>
                <w:bCs/>
              </w:rPr>
            </w:pPr>
            <w:r w:rsidRPr="003C49F6">
              <w:rPr>
                <w:rFonts w:ascii="Arial" w:hAnsi="Arial" w:cs="Arial"/>
                <w:b/>
              </w:rPr>
              <w:t>2018-19</w:t>
            </w:r>
          </w:p>
        </w:tc>
        <w:tc>
          <w:tcPr>
            <w:tcW w:w="1144" w:type="dxa"/>
            <w:shd w:val="clear" w:color="auto" w:fill="D9D9D9" w:themeFill="background1" w:themeFillShade="D9"/>
          </w:tcPr>
          <w:p w14:paraId="253A6FD6" w14:textId="4C6BAA5E" w:rsidR="006E0C91" w:rsidRPr="003C49F6" w:rsidRDefault="006E0C91" w:rsidP="006E0C91">
            <w:pPr>
              <w:rPr>
                <w:rFonts w:ascii="Arial" w:hAnsi="Arial" w:cs="Arial"/>
                <w:b/>
                <w:bCs/>
              </w:rPr>
            </w:pPr>
            <w:r w:rsidRPr="003C49F6">
              <w:rPr>
                <w:rFonts w:ascii="Arial" w:hAnsi="Arial" w:cs="Arial"/>
                <w:b/>
              </w:rPr>
              <w:t>2019-20</w:t>
            </w:r>
          </w:p>
        </w:tc>
        <w:tc>
          <w:tcPr>
            <w:tcW w:w="1144" w:type="dxa"/>
            <w:shd w:val="clear" w:color="auto" w:fill="D9D9D9" w:themeFill="background1" w:themeFillShade="D9"/>
          </w:tcPr>
          <w:p w14:paraId="4DE13D3B" w14:textId="44C83C5E" w:rsidR="006E0C91" w:rsidRPr="003C49F6" w:rsidRDefault="006E0C91" w:rsidP="006E0C91">
            <w:pPr>
              <w:rPr>
                <w:rFonts w:ascii="Arial" w:hAnsi="Arial" w:cs="Arial"/>
                <w:b/>
                <w:bCs/>
              </w:rPr>
            </w:pPr>
            <w:r w:rsidRPr="003C49F6">
              <w:rPr>
                <w:rFonts w:ascii="Arial" w:hAnsi="Arial" w:cs="Arial"/>
                <w:b/>
              </w:rPr>
              <w:t>2020-21</w:t>
            </w:r>
          </w:p>
        </w:tc>
        <w:tc>
          <w:tcPr>
            <w:tcW w:w="1144" w:type="dxa"/>
            <w:shd w:val="clear" w:color="auto" w:fill="D9D9D9" w:themeFill="background1" w:themeFillShade="D9"/>
          </w:tcPr>
          <w:p w14:paraId="54F6EE21" w14:textId="0F686E86" w:rsidR="006E0C91" w:rsidRPr="003C49F6" w:rsidRDefault="006E0C91" w:rsidP="006E0C91">
            <w:pPr>
              <w:rPr>
                <w:rFonts w:ascii="Arial" w:hAnsi="Arial" w:cs="Arial"/>
                <w:b/>
                <w:bCs/>
              </w:rPr>
            </w:pPr>
            <w:r w:rsidRPr="003C49F6">
              <w:rPr>
                <w:rFonts w:ascii="Arial" w:hAnsi="Arial" w:cs="Arial"/>
                <w:b/>
              </w:rPr>
              <w:t>2021-22</w:t>
            </w:r>
          </w:p>
        </w:tc>
        <w:tc>
          <w:tcPr>
            <w:tcW w:w="1144" w:type="dxa"/>
            <w:shd w:val="clear" w:color="auto" w:fill="D9D9D9" w:themeFill="background1" w:themeFillShade="D9"/>
          </w:tcPr>
          <w:p w14:paraId="201A3ED5" w14:textId="16058B8B" w:rsidR="006E0C91" w:rsidRPr="003C49F6" w:rsidRDefault="006E0C91" w:rsidP="006E0C91">
            <w:pPr>
              <w:rPr>
                <w:rFonts w:ascii="Arial" w:hAnsi="Arial" w:cs="Arial"/>
                <w:b/>
                <w:bCs/>
              </w:rPr>
            </w:pPr>
            <w:r w:rsidRPr="003C49F6">
              <w:rPr>
                <w:rFonts w:ascii="Arial" w:hAnsi="Arial" w:cs="Arial"/>
                <w:b/>
              </w:rPr>
              <w:t>2022-23</w:t>
            </w:r>
          </w:p>
        </w:tc>
        <w:tc>
          <w:tcPr>
            <w:tcW w:w="1144" w:type="dxa"/>
            <w:shd w:val="clear" w:color="auto" w:fill="D9D9D9" w:themeFill="background1" w:themeFillShade="D9"/>
          </w:tcPr>
          <w:p w14:paraId="29E938DD" w14:textId="0B7C80EE" w:rsidR="006E0C91" w:rsidRPr="003C49F6" w:rsidRDefault="006E0C91" w:rsidP="006E0C91">
            <w:pPr>
              <w:rPr>
                <w:rFonts w:ascii="Arial" w:hAnsi="Arial" w:cs="Arial"/>
                <w:b/>
                <w:bCs/>
              </w:rPr>
            </w:pPr>
            <w:r w:rsidRPr="003C49F6">
              <w:rPr>
                <w:rFonts w:ascii="Arial" w:hAnsi="Arial" w:cs="Arial"/>
                <w:b/>
              </w:rPr>
              <w:t>2023-24</w:t>
            </w:r>
          </w:p>
        </w:tc>
      </w:tr>
      <w:bookmarkEnd w:id="34"/>
      <w:tr w:rsidR="003A71F6" w:rsidRPr="003C49F6" w14:paraId="06F847B8" w14:textId="77777777" w:rsidTr="00A65001">
        <w:tc>
          <w:tcPr>
            <w:tcW w:w="1855" w:type="dxa"/>
          </w:tcPr>
          <w:p w14:paraId="619EB204" w14:textId="10F089F8" w:rsidR="003A71F6" w:rsidRPr="003C49F6" w:rsidRDefault="003A71F6" w:rsidP="003A71F6">
            <w:pPr>
              <w:rPr>
                <w:rFonts w:ascii="Arial" w:hAnsi="Arial" w:cs="Arial"/>
              </w:rPr>
            </w:pPr>
            <w:r w:rsidRPr="003C49F6">
              <w:rPr>
                <w:rFonts w:ascii="Arial" w:hAnsi="Arial" w:cs="Arial"/>
              </w:rPr>
              <w:t xml:space="preserve">Direct Filled Jobs </w:t>
            </w:r>
          </w:p>
        </w:tc>
        <w:tc>
          <w:tcPr>
            <w:tcW w:w="1144" w:type="dxa"/>
          </w:tcPr>
          <w:p w14:paraId="20202204" w14:textId="150474F5" w:rsidR="003A71F6" w:rsidRPr="003C49F6" w:rsidRDefault="003A71F6" w:rsidP="003A71F6">
            <w:pPr>
              <w:rPr>
                <w:rFonts w:ascii="Arial" w:hAnsi="Arial" w:cs="Arial"/>
              </w:rPr>
            </w:pPr>
            <w:r w:rsidRPr="003C49F6">
              <w:rPr>
                <w:rFonts w:ascii="Arial" w:hAnsi="Arial" w:cs="Arial"/>
              </w:rPr>
              <w:t>171,600</w:t>
            </w:r>
          </w:p>
        </w:tc>
        <w:tc>
          <w:tcPr>
            <w:tcW w:w="1144" w:type="dxa"/>
          </w:tcPr>
          <w:p w14:paraId="0BC5AFC6" w14:textId="44076A46" w:rsidR="003A71F6" w:rsidRPr="003C49F6" w:rsidRDefault="003A71F6" w:rsidP="003A71F6">
            <w:pPr>
              <w:rPr>
                <w:rFonts w:ascii="Arial" w:hAnsi="Arial" w:cs="Arial"/>
              </w:rPr>
            </w:pPr>
            <w:r w:rsidRPr="003C49F6">
              <w:rPr>
                <w:rFonts w:ascii="Arial" w:hAnsi="Arial" w:cs="Arial"/>
              </w:rPr>
              <w:t>148,200</w:t>
            </w:r>
          </w:p>
        </w:tc>
        <w:tc>
          <w:tcPr>
            <w:tcW w:w="1144" w:type="dxa"/>
          </w:tcPr>
          <w:p w14:paraId="39F4FADF" w14:textId="0FE1BFEA" w:rsidR="003A71F6" w:rsidRPr="003C49F6" w:rsidRDefault="003A71F6" w:rsidP="003A71F6">
            <w:pPr>
              <w:rPr>
                <w:rFonts w:ascii="Arial" w:hAnsi="Arial" w:cs="Arial"/>
              </w:rPr>
            </w:pPr>
            <w:r w:rsidRPr="003C49F6">
              <w:rPr>
                <w:rFonts w:ascii="Arial" w:hAnsi="Arial" w:cs="Arial"/>
              </w:rPr>
              <w:t>74,500</w:t>
            </w:r>
          </w:p>
        </w:tc>
        <w:tc>
          <w:tcPr>
            <w:tcW w:w="1144" w:type="dxa"/>
          </w:tcPr>
          <w:p w14:paraId="064922D8" w14:textId="5621BCDC" w:rsidR="003A71F6" w:rsidRPr="003C49F6" w:rsidRDefault="003A71F6" w:rsidP="003A71F6">
            <w:pPr>
              <w:rPr>
                <w:rFonts w:ascii="Arial" w:hAnsi="Arial" w:cs="Arial"/>
              </w:rPr>
            </w:pPr>
            <w:r w:rsidRPr="003C49F6">
              <w:rPr>
                <w:rFonts w:ascii="Arial" w:hAnsi="Arial" w:cs="Arial"/>
              </w:rPr>
              <w:t>105,500</w:t>
            </w:r>
          </w:p>
        </w:tc>
        <w:tc>
          <w:tcPr>
            <w:tcW w:w="1144" w:type="dxa"/>
          </w:tcPr>
          <w:p w14:paraId="3ECA662D" w14:textId="3BA62431" w:rsidR="003A71F6" w:rsidRPr="003C49F6" w:rsidRDefault="003A71F6" w:rsidP="003A71F6">
            <w:pPr>
              <w:rPr>
                <w:rFonts w:ascii="Arial" w:hAnsi="Arial" w:cs="Arial"/>
              </w:rPr>
            </w:pPr>
            <w:r w:rsidRPr="003C49F6">
              <w:rPr>
                <w:rFonts w:ascii="Arial" w:hAnsi="Arial" w:cs="Arial"/>
              </w:rPr>
              <w:t>171,100</w:t>
            </w:r>
          </w:p>
        </w:tc>
        <w:tc>
          <w:tcPr>
            <w:tcW w:w="1144" w:type="dxa"/>
          </w:tcPr>
          <w:p w14:paraId="75BE9E8B" w14:textId="582F3624" w:rsidR="003A71F6" w:rsidRPr="003C49F6" w:rsidRDefault="003A71F6" w:rsidP="003A71F6">
            <w:pPr>
              <w:rPr>
                <w:rFonts w:ascii="Arial" w:hAnsi="Arial" w:cs="Arial"/>
              </w:rPr>
            </w:pPr>
            <w:r w:rsidRPr="003C49F6">
              <w:rPr>
                <w:rFonts w:ascii="Arial" w:hAnsi="Arial" w:cs="Arial"/>
              </w:rPr>
              <w:t>183,800</w:t>
            </w:r>
          </w:p>
        </w:tc>
      </w:tr>
      <w:tr w:rsidR="003A71F6" w:rsidRPr="003C49F6" w14:paraId="68284214" w14:textId="77777777" w:rsidTr="00A65001">
        <w:tc>
          <w:tcPr>
            <w:tcW w:w="1855" w:type="dxa"/>
          </w:tcPr>
          <w:p w14:paraId="7DE405DA" w14:textId="76E9B393" w:rsidR="003A71F6" w:rsidRPr="003C49F6" w:rsidRDefault="003A71F6" w:rsidP="003A71F6">
            <w:pPr>
              <w:rPr>
                <w:rFonts w:ascii="Arial" w:hAnsi="Arial" w:cs="Arial"/>
              </w:rPr>
            </w:pPr>
            <w:r w:rsidRPr="003C49F6">
              <w:rPr>
                <w:rFonts w:ascii="Arial" w:hAnsi="Arial" w:cs="Arial"/>
              </w:rPr>
              <w:t xml:space="preserve">Indirect Filled Jobs </w:t>
            </w:r>
          </w:p>
        </w:tc>
        <w:tc>
          <w:tcPr>
            <w:tcW w:w="1144" w:type="dxa"/>
          </w:tcPr>
          <w:p w14:paraId="2FC17C40" w14:textId="086E3521" w:rsidR="003A71F6" w:rsidRPr="003C49F6" w:rsidRDefault="003A71F6" w:rsidP="003A71F6">
            <w:pPr>
              <w:rPr>
                <w:rFonts w:ascii="Arial" w:hAnsi="Arial" w:cs="Arial"/>
              </w:rPr>
            </w:pPr>
            <w:r w:rsidRPr="003C49F6">
              <w:rPr>
                <w:rFonts w:ascii="Arial" w:hAnsi="Arial" w:cs="Arial"/>
              </w:rPr>
              <w:t>89,900</w:t>
            </w:r>
          </w:p>
        </w:tc>
        <w:tc>
          <w:tcPr>
            <w:tcW w:w="1144" w:type="dxa"/>
          </w:tcPr>
          <w:p w14:paraId="2CC86710" w14:textId="23278B89" w:rsidR="003A71F6" w:rsidRPr="003C49F6" w:rsidRDefault="003A71F6" w:rsidP="003A71F6">
            <w:pPr>
              <w:rPr>
                <w:rFonts w:ascii="Arial" w:hAnsi="Arial" w:cs="Arial"/>
              </w:rPr>
            </w:pPr>
            <w:r w:rsidRPr="003C49F6">
              <w:rPr>
                <w:rFonts w:ascii="Arial" w:hAnsi="Arial" w:cs="Arial"/>
              </w:rPr>
              <w:t>72,000</w:t>
            </w:r>
          </w:p>
        </w:tc>
        <w:tc>
          <w:tcPr>
            <w:tcW w:w="1144" w:type="dxa"/>
          </w:tcPr>
          <w:p w14:paraId="1F26930D" w14:textId="2C08C98F" w:rsidR="003A71F6" w:rsidRPr="003C49F6" w:rsidRDefault="003A71F6" w:rsidP="003A71F6">
            <w:pPr>
              <w:rPr>
                <w:rFonts w:ascii="Arial" w:hAnsi="Arial" w:cs="Arial"/>
              </w:rPr>
            </w:pPr>
            <w:r w:rsidRPr="003C49F6">
              <w:rPr>
                <w:rFonts w:ascii="Arial" w:hAnsi="Arial" w:cs="Arial"/>
              </w:rPr>
              <w:t>34,600</w:t>
            </w:r>
          </w:p>
        </w:tc>
        <w:tc>
          <w:tcPr>
            <w:tcW w:w="1144" w:type="dxa"/>
          </w:tcPr>
          <w:p w14:paraId="25E42314" w14:textId="0B100822" w:rsidR="003A71F6" w:rsidRPr="003C49F6" w:rsidRDefault="003A71F6" w:rsidP="003A71F6">
            <w:pPr>
              <w:rPr>
                <w:rFonts w:ascii="Arial" w:hAnsi="Arial" w:cs="Arial"/>
              </w:rPr>
            </w:pPr>
            <w:r w:rsidRPr="003C49F6">
              <w:rPr>
                <w:rFonts w:ascii="Arial" w:hAnsi="Arial" w:cs="Arial"/>
              </w:rPr>
              <w:t>51,300</w:t>
            </w:r>
          </w:p>
        </w:tc>
        <w:tc>
          <w:tcPr>
            <w:tcW w:w="1144" w:type="dxa"/>
          </w:tcPr>
          <w:p w14:paraId="3C228970" w14:textId="5DA0916C" w:rsidR="003A71F6" w:rsidRPr="003C49F6" w:rsidRDefault="003A71F6" w:rsidP="003A71F6">
            <w:pPr>
              <w:rPr>
                <w:rFonts w:ascii="Arial" w:hAnsi="Arial" w:cs="Arial"/>
              </w:rPr>
            </w:pPr>
            <w:r w:rsidRPr="003C49F6">
              <w:rPr>
                <w:rFonts w:ascii="Arial" w:hAnsi="Arial" w:cs="Arial"/>
              </w:rPr>
              <w:t>95,300</w:t>
            </w:r>
          </w:p>
        </w:tc>
        <w:tc>
          <w:tcPr>
            <w:tcW w:w="1144" w:type="dxa"/>
          </w:tcPr>
          <w:p w14:paraId="13FF58FE" w14:textId="2B50BD26" w:rsidR="003A71F6" w:rsidRPr="003C49F6" w:rsidRDefault="003A71F6" w:rsidP="003A71F6">
            <w:pPr>
              <w:rPr>
                <w:rFonts w:ascii="Arial" w:hAnsi="Arial" w:cs="Arial"/>
              </w:rPr>
            </w:pPr>
            <w:r w:rsidRPr="003C49F6">
              <w:rPr>
                <w:rFonts w:ascii="Arial" w:hAnsi="Arial" w:cs="Arial"/>
              </w:rPr>
              <w:t>105,000</w:t>
            </w:r>
          </w:p>
        </w:tc>
      </w:tr>
      <w:tr w:rsidR="003A71F6" w:rsidRPr="003C49F6" w14:paraId="42A5FF78" w14:textId="77777777" w:rsidTr="00A65001">
        <w:tc>
          <w:tcPr>
            <w:tcW w:w="1855" w:type="dxa"/>
          </w:tcPr>
          <w:p w14:paraId="6B7BF1E6" w14:textId="7E9B0F5A" w:rsidR="003A71F6" w:rsidRPr="003C49F6" w:rsidRDefault="003A71F6" w:rsidP="003A71F6">
            <w:pPr>
              <w:rPr>
                <w:rFonts w:ascii="Arial" w:hAnsi="Arial" w:cs="Arial"/>
              </w:rPr>
            </w:pPr>
            <w:r w:rsidRPr="003C49F6">
              <w:rPr>
                <w:rFonts w:ascii="Arial" w:hAnsi="Arial" w:cs="Arial"/>
              </w:rPr>
              <w:t xml:space="preserve">Total Filled Jobs </w:t>
            </w:r>
          </w:p>
        </w:tc>
        <w:tc>
          <w:tcPr>
            <w:tcW w:w="1144" w:type="dxa"/>
          </w:tcPr>
          <w:p w14:paraId="0CFBEF55" w14:textId="44C83809" w:rsidR="003A71F6" w:rsidRPr="003C49F6" w:rsidRDefault="003A71F6" w:rsidP="003A71F6">
            <w:pPr>
              <w:rPr>
                <w:rFonts w:ascii="Arial" w:hAnsi="Arial" w:cs="Arial"/>
              </w:rPr>
            </w:pPr>
            <w:r w:rsidRPr="003C49F6">
              <w:rPr>
                <w:rFonts w:ascii="Arial" w:hAnsi="Arial" w:cs="Arial"/>
              </w:rPr>
              <w:t>261,500</w:t>
            </w:r>
          </w:p>
        </w:tc>
        <w:tc>
          <w:tcPr>
            <w:tcW w:w="1144" w:type="dxa"/>
          </w:tcPr>
          <w:p w14:paraId="38193D36" w14:textId="60B66767" w:rsidR="003A71F6" w:rsidRPr="003C49F6" w:rsidRDefault="003A71F6" w:rsidP="003A71F6">
            <w:pPr>
              <w:rPr>
                <w:rFonts w:ascii="Arial" w:hAnsi="Arial" w:cs="Arial"/>
              </w:rPr>
            </w:pPr>
            <w:r w:rsidRPr="003C49F6">
              <w:rPr>
                <w:rFonts w:ascii="Arial" w:hAnsi="Arial" w:cs="Arial"/>
              </w:rPr>
              <w:t>220,100</w:t>
            </w:r>
          </w:p>
        </w:tc>
        <w:tc>
          <w:tcPr>
            <w:tcW w:w="1144" w:type="dxa"/>
          </w:tcPr>
          <w:p w14:paraId="3B4E1656" w14:textId="09E8A756" w:rsidR="003A71F6" w:rsidRPr="003C49F6" w:rsidRDefault="003A71F6" w:rsidP="003A71F6">
            <w:pPr>
              <w:rPr>
                <w:rFonts w:ascii="Arial" w:hAnsi="Arial" w:cs="Arial"/>
              </w:rPr>
            </w:pPr>
            <w:r w:rsidRPr="003C49F6">
              <w:rPr>
                <w:rFonts w:ascii="Arial" w:hAnsi="Arial" w:cs="Arial"/>
              </w:rPr>
              <w:t>109,100</w:t>
            </w:r>
          </w:p>
        </w:tc>
        <w:tc>
          <w:tcPr>
            <w:tcW w:w="1144" w:type="dxa"/>
          </w:tcPr>
          <w:p w14:paraId="3DBBB34A" w14:textId="0A9830BB" w:rsidR="003A71F6" w:rsidRPr="003C49F6" w:rsidRDefault="003A71F6" w:rsidP="003A71F6">
            <w:pPr>
              <w:rPr>
                <w:rFonts w:ascii="Arial" w:hAnsi="Arial" w:cs="Arial"/>
              </w:rPr>
            </w:pPr>
            <w:r w:rsidRPr="003C49F6">
              <w:rPr>
                <w:rFonts w:ascii="Arial" w:hAnsi="Arial" w:cs="Arial"/>
              </w:rPr>
              <w:t>156,800</w:t>
            </w:r>
          </w:p>
        </w:tc>
        <w:tc>
          <w:tcPr>
            <w:tcW w:w="1144" w:type="dxa"/>
          </w:tcPr>
          <w:p w14:paraId="64D9F3C0" w14:textId="3DE480E2" w:rsidR="003A71F6" w:rsidRPr="003C49F6" w:rsidRDefault="003A71F6" w:rsidP="003A71F6">
            <w:pPr>
              <w:rPr>
                <w:rFonts w:ascii="Arial" w:hAnsi="Arial" w:cs="Arial"/>
              </w:rPr>
            </w:pPr>
            <w:r w:rsidRPr="003C49F6">
              <w:rPr>
                <w:rFonts w:ascii="Arial" w:hAnsi="Arial" w:cs="Arial"/>
              </w:rPr>
              <w:t>266,500</w:t>
            </w:r>
          </w:p>
        </w:tc>
        <w:tc>
          <w:tcPr>
            <w:tcW w:w="1144" w:type="dxa"/>
          </w:tcPr>
          <w:p w14:paraId="1868ECBC" w14:textId="472B137D" w:rsidR="003A71F6" w:rsidRPr="003C49F6" w:rsidRDefault="003A71F6" w:rsidP="003A71F6">
            <w:pPr>
              <w:rPr>
                <w:rFonts w:ascii="Arial" w:hAnsi="Arial" w:cs="Arial"/>
              </w:rPr>
            </w:pPr>
            <w:r w:rsidRPr="003C49F6">
              <w:rPr>
                <w:rFonts w:ascii="Arial" w:hAnsi="Arial" w:cs="Arial"/>
              </w:rPr>
              <w:t>288,800</w:t>
            </w:r>
          </w:p>
        </w:tc>
      </w:tr>
    </w:tbl>
    <w:p w14:paraId="38B85EF6" w14:textId="2505DC53" w:rsidR="003F5D4D" w:rsidRPr="00B82E1F" w:rsidRDefault="00931D4A" w:rsidP="00931D4A">
      <w:pPr>
        <w:pStyle w:val="Default"/>
        <w:spacing w:before="120" w:after="120"/>
        <w:rPr>
          <w:rFonts w:ascii="Arial" w:hAnsi="Arial" w:cs="Arial"/>
          <w:color w:val="auto"/>
          <w:sz w:val="23"/>
          <w:szCs w:val="23"/>
        </w:rPr>
      </w:pPr>
      <w:r w:rsidRPr="003C49F6">
        <w:rPr>
          <w:rFonts w:ascii="Arial" w:hAnsi="Arial" w:cs="Arial"/>
          <w:color w:val="auto"/>
          <w:sz w:val="23"/>
          <w:szCs w:val="23"/>
        </w:rPr>
        <w:t xml:space="preserve">To </w:t>
      </w:r>
      <w:r w:rsidR="00B653E3" w:rsidRPr="003C49F6">
        <w:rPr>
          <w:rFonts w:ascii="Arial" w:hAnsi="Arial" w:cs="Arial"/>
          <w:color w:val="auto"/>
          <w:sz w:val="23"/>
          <w:szCs w:val="23"/>
        </w:rPr>
        <w:t xml:space="preserve">note: </w:t>
      </w:r>
      <w:r w:rsidRPr="003C49F6">
        <w:rPr>
          <w:rFonts w:ascii="Arial" w:hAnsi="Arial" w:cs="Arial"/>
          <w:color w:val="auto"/>
          <w:sz w:val="23"/>
          <w:szCs w:val="23"/>
        </w:rPr>
        <w:t xml:space="preserve">estimates in </w:t>
      </w:r>
      <w:r w:rsidR="00B653E3" w:rsidRPr="003C49F6">
        <w:rPr>
          <w:rFonts w:ascii="Arial" w:hAnsi="Arial" w:cs="Arial"/>
          <w:color w:val="auto"/>
          <w:sz w:val="23"/>
          <w:szCs w:val="23"/>
        </w:rPr>
        <w:t xml:space="preserve">the </w:t>
      </w:r>
      <w:r w:rsidRPr="003C49F6">
        <w:rPr>
          <w:rFonts w:ascii="Arial" w:hAnsi="Arial" w:cs="Arial"/>
          <w:color w:val="auto"/>
          <w:sz w:val="23"/>
          <w:szCs w:val="23"/>
        </w:rPr>
        <w:t>table above may not sum to total due to rounding discrepancies.</w:t>
      </w:r>
    </w:p>
    <w:p w14:paraId="52DA1D9B" w14:textId="77777777" w:rsidR="004104EC" w:rsidRPr="00B82E1F" w:rsidRDefault="004104EC" w:rsidP="00931D4A">
      <w:pPr>
        <w:pStyle w:val="Default"/>
        <w:spacing w:before="120" w:after="120"/>
        <w:rPr>
          <w:rFonts w:ascii="Arial" w:hAnsi="Arial" w:cs="Arial"/>
          <w:color w:val="auto"/>
          <w:sz w:val="23"/>
          <w:szCs w:val="23"/>
        </w:rPr>
      </w:pPr>
    </w:p>
    <w:p w14:paraId="098FC16C" w14:textId="39F2D35E" w:rsidR="003F5D4D" w:rsidRPr="003C49F6" w:rsidRDefault="006307B2" w:rsidP="00313271">
      <w:pPr>
        <w:pStyle w:val="Heading3"/>
        <w:spacing w:before="120" w:after="120"/>
        <w:rPr>
          <w:rFonts w:ascii="Arial" w:eastAsiaTheme="minorHAnsi" w:hAnsi="Arial" w:cs="Arial"/>
          <w:color w:val="002060"/>
        </w:rPr>
      </w:pPr>
      <w:r w:rsidRPr="00B82E1F">
        <w:rPr>
          <w:rFonts w:ascii="Arial" w:eastAsiaTheme="minorHAnsi" w:hAnsi="Arial" w:cs="Arial"/>
          <w:color w:val="002060"/>
        </w:rPr>
        <w:t>5.2</w:t>
      </w:r>
      <w:r w:rsidR="0010326B" w:rsidRPr="00B82E1F">
        <w:rPr>
          <w:rFonts w:ascii="Arial" w:eastAsiaTheme="minorHAnsi" w:hAnsi="Arial" w:cs="Arial"/>
          <w:color w:val="002060"/>
        </w:rPr>
        <w:t xml:space="preserve">.2 </w:t>
      </w:r>
      <w:r w:rsidR="003F5D4D" w:rsidRPr="003C49F6">
        <w:rPr>
          <w:rFonts w:ascii="Arial" w:eastAsiaTheme="minorHAnsi" w:hAnsi="Arial" w:cs="Arial"/>
          <w:color w:val="002060"/>
        </w:rPr>
        <w:t xml:space="preserve">Tourism’s </w:t>
      </w:r>
      <w:r w:rsidR="00C23066" w:rsidRPr="003C49F6">
        <w:rPr>
          <w:rFonts w:ascii="Arial" w:eastAsiaTheme="minorHAnsi" w:hAnsi="Arial" w:cs="Arial"/>
          <w:color w:val="002060"/>
        </w:rPr>
        <w:t xml:space="preserve">percent </w:t>
      </w:r>
      <w:r w:rsidR="003F5D4D" w:rsidRPr="003C49F6">
        <w:rPr>
          <w:rFonts w:ascii="Arial" w:eastAsiaTheme="minorHAnsi" w:hAnsi="Arial" w:cs="Arial"/>
          <w:color w:val="002060"/>
        </w:rPr>
        <w:t xml:space="preserve">contribution to direct, indirect, and total Victorian filled jobs from </w:t>
      </w:r>
      <w:r w:rsidR="003A71F6" w:rsidRPr="003C49F6">
        <w:rPr>
          <w:rFonts w:ascii="Arial" w:eastAsiaTheme="minorHAnsi" w:hAnsi="Arial" w:cs="Arial"/>
          <w:color w:val="002060"/>
        </w:rPr>
        <w:t>2018-19</w:t>
      </w:r>
      <w:r w:rsidR="003F5D4D" w:rsidRPr="003C49F6">
        <w:rPr>
          <w:rFonts w:ascii="Arial" w:eastAsiaTheme="minorHAnsi" w:hAnsi="Arial" w:cs="Arial"/>
          <w:color w:val="002060"/>
        </w:rPr>
        <w:t xml:space="preserve"> to </w:t>
      </w:r>
      <w:r w:rsidR="00087CA3" w:rsidRPr="003C49F6">
        <w:rPr>
          <w:rFonts w:ascii="Arial" w:eastAsiaTheme="minorHAnsi" w:hAnsi="Arial" w:cs="Arial"/>
          <w:color w:val="002060"/>
        </w:rPr>
        <w:t>2023-24</w:t>
      </w:r>
      <w:r w:rsidR="007813BA" w:rsidRPr="003C49F6">
        <w:rPr>
          <w:rFonts w:ascii="Arial" w:eastAsiaTheme="minorHAnsi" w:hAnsi="Arial" w:cs="Arial"/>
          <w:color w:val="002060"/>
        </w:rPr>
        <w:t>.</w:t>
      </w:r>
      <w:r w:rsidR="003F5D4D" w:rsidRPr="003C49F6">
        <w:rPr>
          <w:rFonts w:ascii="Arial" w:eastAsiaTheme="minorHAnsi" w:hAnsi="Arial" w:cs="Arial"/>
          <w:color w:val="002060"/>
        </w:rPr>
        <w:t xml:space="preserve"> </w:t>
      </w:r>
    </w:p>
    <w:p w14:paraId="6795082E" w14:textId="77777777" w:rsidR="00407F70" w:rsidRPr="003C49F6" w:rsidRDefault="00407F70" w:rsidP="00407F70">
      <w:pPr>
        <w:rPr>
          <w:sz w:val="2"/>
          <w:szCs w:val="2"/>
        </w:rPr>
      </w:pPr>
    </w:p>
    <w:tbl>
      <w:tblPr>
        <w:tblStyle w:val="TableGrid"/>
        <w:tblW w:w="0" w:type="auto"/>
        <w:tblLook w:val="04A0" w:firstRow="1" w:lastRow="0" w:firstColumn="1" w:lastColumn="0" w:noHBand="0" w:noVBand="1"/>
      </w:tblPr>
      <w:tblGrid>
        <w:gridCol w:w="1380"/>
        <w:gridCol w:w="1374"/>
        <w:gridCol w:w="1375"/>
        <w:gridCol w:w="1375"/>
        <w:gridCol w:w="1375"/>
        <w:gridCol w:w="1375"/>
        <w:gridCol w:w="1375"/>
      </w:tblGrid>
      <w:tr w:rsidR="000C3914" w:rsidRPr="003C49F6" w14:paraId="48007265" w14:textId="77777777" w:rsidTr="000710FB">
        <w:trPr>
          <w:tblHeader/>
        </w:trPr>
        <w:tc>
          <w:tcPr>
            <w:tcW w:w="1380" w:type="dxa"/>
            <w:shd w:val="clear" w:color="auto" w:fill="D9D9D9" w:themeFill="background1" w:themeFillShade="D9"/>
          </w:tcPr>
          <w:p w14:paraId="6AFBFE95" w14:textId="77777777" w:rsidR="000C3914" w:rsidRPr="003C49F6" w:rsidRDefault="000C3914" w:rsidP="000C3914">
            <w:pPr>
              <w:rPr>
                <w:rFonts w:ascii="Arial" w:hAnsi="Arial" w:cs="Arial"/>
                <w:b/>
                <w:bCs/>
              </w:rPr>
            </w:pPr>
            <w:bookmarkStart w:id="35" w:name="Title_7" w:colFirst="0" w:colLast="0"/>
            <w:r w:rsidRPr="003C49F6">
              <w:rPr>
                <w:rFonts w:ascii="Arial" w:hAnsi="Arial" w:cs="Arial"/>
                <w:b/>
                <w:bCs/>
              </w:rPr>
              <w:t>Measure</w:t>
            </w:r>
          </w:p>
        </w:tc>
        <w:tc>
          <w:tcPr>
            <w:tcW w:w="1374" w:type="dxa"/>
            <w:shd w:val="clear" w:color="auto" w:fill="D9D9D9" w:themeFill="background1" w:themeFillShade="D9"/>
          </w:tcPr>
          <w:p w14:paraId="60629CBA" w14:textId="18D63599" w:rsidR="000C3914" w:rsidRPr="003C49F6" w:rsidRDefault="000C3914" w:rsidP="000C3914">
            <w:pPr>
              <w:rPr>
                <w:rFonts w:ascii="Arial" w:hAnsi="Arial" w:cs="Arial"/>
                <w:b/>
                <w:bCs/>
              </w:rPr>
            </w:pPr>
            <w:r w:rsidRPr="003C49F6">
              <w:rPr>
                <w:rFonts w:ascii="Arial" w:hAnsi="Arial" w:cs="Arial"/>
                <w:b/>
              </w:rPr>
              <w:t>2018-19</w:t>
            </w:r>
          </w:p>
        </w:tc>
        <w:tc>
          <w:tcPr>
            <w:tcW w:w="1375" w:type="dxa"/>
            <w:shd w:val="clear" w:color="auto" w:fill="D9D9D9" w:themeFill="background1" w:themeFillShade="D9"/>
          </w:tcPr>
          <w:p w14:paraId="42237C7D" w14:textId="75367D14" w:rsidR="000C3914" w:rsidRPr="003C49F6" w:rsidRDefault="000C3914" w:rsidP="000C3914">
            <w:pPr>
              <w:rPr>
                <w:rFonts w:ascii="Arial" w:hAnsi="Arial" w:cs="Arial"/>
                <w:b/>
                <w:bCs/>
              </w:rPr>
            </w:pPr>
            <w:r w:rsidRPr="003C49F6">
              <w:rPr>
                <w:rFonts w:ascii="Arial" w:hAnsi="Arial" w:cs="Arial"/>
                <w:b/>
              </w:rPr>
              <w:t>2019-20</w:t>
            </w:r>
          </w:p>
        </w:tc>
        <w:tc>
          <w:tcPr>
            <w:tcW w:w="1375" w:type="dxa"/>
            <w:shd w:val="clear" w:color="auto" w:fill="D9D9D9" w:themeFill="background1" w:themeFillShade="D9"/>
          </w:tcPr>
          <w:p w14:paraId="666B96FB" w14:textId="5369A5E5" w:rsidR="000C3914" w:rsidRPr="003C49F6" w:rsidRDefault="000C3914" w:rsidP="000C3914">
            <w:pPr>
              <w:rPr>
                <w:rFonts w:ascii="Arial" w:hAnsi="Arial" w:cs="Arial"/>
                <w:b/>
                <w:bCs/>
              </w:rPr>
            </w:pPr>
            <w:r w:rsidRPr="003C49F6">
              <w:rPr>
                <w:rFonts w:ascii="Arial" w:hAnsi="Arial" w:cs="Arial"/>
                <w:b/>
              </w:rPr>
              <w:t>2020-21</w:t>
            </w:r>
          </w:p>
        </w:tc>
        <w:tc>
          <w:tcPr>
            <w:tcW w:w="1375" w:type="dxa"/>
            <w:shd w:val="clear" w:color="auto" w:fill="D9D9D9" w:themeFill="background1" w:themeFillShade="D9"/>
          </w:tcPr>
          <w:p w14:paraId="488C17A4" w14:textId="12E055E2" w:rsidR="000C3914" w:rsidRPr="003C49F6" w:rsidRDefault="000C3914" w:rsidP="000C3914">
            <w:pPr>
              <w:rPr>
                <w:rFonts w:ascii="Arial" w:hAnsi="Arial" w:cs="Arial"/>
                <w:b/>
                <w:bCs/>
              </w:rPr>
            </w:pPr>
            <w:r w:rsidRPr="003C49F6">
              <w:rPr>
                <w:rFonts w:ascii="Arial" w:hAnsi="Arial" w:cs="Arial"/>
                <w:b/>
              </w:rPr>
              <w:t>2021-22</w:t>
            </w:r>
          </w:p>
        </w:tc>
        <w:tc>
          <w:tcPr>
            <w:tcW w:w="1375" w:type="dxa"/>
            <w:shd w:val="clear" w:color="auto" w:fill="D9D9D9" w:themeFill="background1" w:themeFillShade="D9"/>
          </w:tcPr>
          <w:p w14:paraId="4173BD1A" w14:textId="42B92F71" w:rsidR="000C3914" w:rsidRPr="003C49F6" w:rsidRDefault="000C3914" w:rsidP="000C3914">
            <w:pPr>
              <w:rPr>
                <w:rFonts w:ascii="Arial" w:hAnsi="Arial" w:cs="Arial"/>
                <w:b/>
                <w:bCs/>
              </w:rPr>
            </w:pPr>
            <w:r w:rsidRPr="003C49F6">
              <w:rPr>
                <w:rFonts w:ascii="Arial" w:hAnsi="Arial" w:cs="Arial"/>
                <w:b/>
              </w:rPr>
              <w:t>2022-23</w:t>
            </w:r>
          </w:p>
        </w:tc>
        <w:tc>
          <w:tcPr>
            <w:tcW w:w="1375" w:type="dxa"/>
            <w:shd w:val="clear" w:color="auto" w:fill="D9D9D9" w:themeFill="background1" w:themeFillShade="D9"/>
          </w:tcPr>
          <w:p w14:paraId="102A7613" w14:textId="0F111140" w:rsidR="000C3914" w:rsidRPr="003C49F6" w:rsidRDefault="000C3914" w:rsidP="000C3914">
            <w:pPr>
              <w:rPr>
                <w:rFonts w:ascii="Arial" w:hAnsi="Arial" w:cs="Arial"/>
                <w:b/>
                <w:bCs/>
              </w:rPr>
            </w:pPr>
            <w:r w:rsidRPr="003C49F6">
              <w:rPr>
                <w:rFonts w:ascii="Arial" w:hAnsi="Arial" w:cs="Arial"/>
                <w:b/>
              </w:rPr>
              <w:t>2023-24</w:t>
            </w:r>
          </w:p>
        </w:tc>
      </w:tr>
      <w:bookmarkEnd w:id="35"/>
      <w:tr w:rsidR="000C3914" w:rsidRPr="003C49F6" w14:paraId="67E2F9AF" w14:textId="77777777" w:rsidTr="007448F5">
        <w:tc>
          <w:tcPr>
            <w:tcW w:w="1380" w:type="dxa"/>
          </w:tcPr>
          <w:p w14:paraId="54316F12" w14:textId="77777777" w:rsidR="000C3914" w:rsidRPr="003C49F6" w:rsidRDefault="000C3914" w:rsidP="000C3914">
            <w:pPr>
              <w:rPr>
                <w:rFonts w:ascii="Arial" w:hAnsi="Arial" w:cs="Arial"/>
              </w:rPr>
            </w:pPr>
            <w:r w:rsidRPr="003C49F6">
              <w:rPr>
                <w:rFonts w:ascii="Arial" w:hAnsi="Arial" w:cs="Arial"/>
              </w:rPr>
              <w:t>Direct</w:t>
            </w:r>
          </w:p>
        </w:tc>
        <w:tc>
          <w:tcPr>
            <w:tcW w:w="1374" w:type="dxa"/>
          </w:tcPr>
          <w:p w14:paraId="077EF257" w14:textId="47C36C1F" w:rsidR="000C3914" w:rsidRPr="003C49F6" w:rsidRDefault="000C3914" w:rsidP="000C3914">
            <w:pPr>
              <w:rPr>
                <w:rFonts w:ascii="Arial" w:hAnsi="Arial" w:cs="Arial"/>
              </w:rPr>
            </w:pPr>
            <w:r w:rsidRPr="003C49F6">
              <w:rPr>
                <w:rFonts w:ascii="Arial" w:hAnsi="Arial" w:cs="Arial"/>
              </w:rPr>
              <w:t>4.9%</w:t>
            </w:r>
          </w:p>
        </w:tc>
        <w:tc>
          <w:tcPr>
            <w:tcW w:w="1375" w:type="dxa"/>
          </w:tcPr>
          <w:p w14:paraId="2C239D31" w14:textId="3A2FE01D" w:rsidR="000C3914" w:rsidRPr="003C49F6" w:rsidRDefault="000C3914" w:rsidP="000C3914">
            <w:pPr>
              <w:rPr>
                <w:rFonts w:ascii="Arial" w:hAnsi="Arial" w:cs="Arial"/>
              </w:rPr>
            </w:pPr>
            <w:r w:rsidRPr="003C49F6">
              <w:rPr>
                <w:rFonts w:ascii="Arial" w:hAnsi="Arial" w:cs="Arial"/>
              </w:rPr>
              <w:t>4.1%</w:t>
            </w:r>
          </w:p>
        </w:tc>
        <w:tc>
          <w:tcPr>
            <w:tcW w:w="1375" w:type="dxa"/>
          </w:tcPr>
          <w:p w14:paraId="6D52335F" w14:textId="23533A5B" w:rsidR="000C3914" w:rsidRPr="003C49F6" w:rsidRDefault="000C3914" w:rsidP="000C3914">
            <w:pPr>
              <w:rPr>
                <w:rFonts w:ascii="Arial" w:hAnsi="Arial" w:cs="Arial"/>
              </w:rPr>
            </w:pPr>
            <w:r w:rsidRPr="003C49F6">
              <w:rPr>
                <w:rFonts w:ascii="Arial" w:hAnsi="Arial" w:cs="Arial"/>
              </w:rPr>
              <w:t>2.1%</w:t>
            </w:r>
          </w:p>
        </w:tc>
        <w:tc>
          <w:tcPr>
            <w:tcW w:w="1375" w:type="dxa"/>
          </w:tcPr>
          <w:p w14:paraId="0589A3CC" w14:textId="511CBBE1" w:rsidR="000C3914" w:rsidRPr="003C49F6" w:rsidRDefault="000C3914" w:rsidP="000C3914">
            <w:pPr>
              <w:rPr>
                <w:rFonts w:ascii="Arial" w:hAnsi="Arial" w:cs="Arial"/>
              </w:rPr>
            </w:pPr>
            <w:r w:rsidRPr="003C49F6">
              <w:rPr>
                <w:rFonts w:ascii="Arial" w:hAnsi="Arial" w:cs="Arial"/>
              </w:rPr>
              <w:t>2.8%</w:t>
            </w:r>
          </w:p>
        </w:tc>
        <w:tc>
          <w:tcPr>
            <w:tcW w:w="1375" w:type="dxa"/>
          </w:tcPr>
          <w:p w14:paraId="0C5D8C53" w14:textId="5150C6FF" w:rsidR="000C3914" w:rsidRPr="003C49F6" w:rsidRDefault="000C3914" w:rsidP="000C3914">
            <w:pPr>
              <w:rPr>
                <w:rFonts w:ascii="Arial" w:hAnsi="Arial" w:cs="Arial"/>
              </w:rPr>
            </w:pPr>
            <w:r w:rsidRPr="003C49F6">
              <w:rPr>
                <w:rFonts w:ascii="Arial" w:hAnsi="Arial" w:cs="Arial"/>
              </w:rPr>
              <w:t>4.3%</w:t>
            </w:r>
          </w:p>
        </w:tc>
        <w:tc>
          <w:tcPr>
            <w:tcW w:w="1375" w:type="dxa"/>
          </w:tcPr>
          <w:p w14:paraId="7BDCFD01" w14:textId="43D694D0" w:rsidR="000C3914" w:rsidRPr="003C49F6" w:rsidRDefault="000C3914" w:rsidP="000C3914">
            <w:pPr>
              <w:rPr>
                <w:rFonts w:ascii="Arial" w:hAnsi="Arial" w:cs="Arial"/>
              </w:rPr>
            </w:pPr>
            <w:r w:rsidRPr="003C49F6">
              <w:rPr>
                <w:rFonts w:ascii="Arial" w:hAnsi="Arial" w:cs="Arial"/>
              </w:rPr>
              <w:t>4.5%</w:t>
            </w:r>
          </w:p>
        </w:tc>
      </w:tr>
      <w:tr w:rsidR="000C3914" w:rsidRPr="003C49F6" w14:paraId="527C7692" w14:textId="77777777" w:rsidTr="007448F5">
        <w:tc>
          <w:tcPr>
            <w:tcW w:w="1380" w:type="dxa"/>
          </w:tcPr>
          <w:p w14:paraId="0991A530" w14:textId="77777777" w:rsidR="000C3914" w:rsidRPr="003C49F6" w:rsidRDefault="000C3914" w:rsidP="000C3914">
            <w:pPr>
              <w:rPr>
                <w:rFonts w:ascii="Arial" w:hAnsi="Arial" w:cs="Arial"/>
              </w:rPr>
            </w:pPr>
            <w:r w:rsidRPr="003C49F6">
              <w:rPr>
                <w:rFonts w:ascii="Arial" w:hAnsi="Arial" w:cs="Arial"/>
              </w:rPr>
              <w:t>Indirect</w:t>
            </w:r>
          </w:p>
        </w:tc>
        <w:tc>
          <w:tcPr>
            <w:tcW w:w="1374" w:type="dxa"/>
          </w:tcPr>
          <w:p w14:paraId="337AEA85" w14:textId="1F371357" w:rsidR="000C3914" w:rsidRPr="003C49F6" w:rsidRDefault="000C3914" w:rsidP="000C3914">
            <w:pPr>
              <w:rPr>
                <w:rFonts w:ascii="Arial" w:hAnsi="Arial" w:cs="Arial"/>
              </w:rPr>
            </w:pPr>
            <w:r w:rsidRPr="003C49F6">
              <w:rPr>
                <w:rFonts w:ascii="Arial" w:hAnsi="Arial" w:cs="Arial"/>
              </w:rPr>
              <w:t>2.5%</w:t>
            </w:r>
          </w:p>
        </w:tc>
        <w:tc>
          <w:tcPr>
            <w:tcW w:w="1375" w:type="dxa"/>
          </w:tcPr>
          <w:p w14:paraId="0D83C01E" w14:textId="201B1004" w:rsidR="000C3914" w:rsidRPr="003C49F6" w:rsidRDefault="000C3914" w:rsidP="000C3914">
            <w:pPr>
              <w:rPr>
                <w:rFonts w:ascii="Arial" w:hAnsi="Arial" w:cs="Arial"/>
              </w:rPr>
            </w:pPr>
            <w:r w:rsidRPr="003C49F6">
              <w:rPr>
                <w:rFonts w:ascii="Arial" w:hAnsi="Arial" w:cs="Arial"/>
              </w:rPr>
              <w:t>2.0%</w:t>
            </w:r>
          </w:p>
        </w:tc>
        <w:tc>
          <w:tcPr>
            <w:tcW w:w="1375" w:type="dxa"/>
          </w:tcPr>
          <w:p w14:paraId="126E0389" w14:textId="0A36F2CC" w:rsidR="000C3914" w:rsidRPr="003C49F6" w:rsidRDefault="000C3914" w:rsidP="000C3914">
            <w:pPr>
              <w:rPr>
                <w:rFonts w:ascii="Arial" w:hAnsi="Arial" w:cs="Arial"/>
              </w:rPr>
            </w:pPr>
            <w:r w:rsidRPr="003C49F6">
              <w:rPr>
                <w:rFonts w:ascii="Arial" w:hAnsi="Arial" w:cs="Arial"/>
              </w:rPr>
              <w:t>1.0%</w:t>
            </w:r>
          </w:p>
        </w:tc>
        <w:tc>
          <w:tcPr>
            <w:tcW w:w="1375" w:type="dxa"/>
          </w:tcPr>
          <w:p w14:paraId="218A60EF" w14:textId="0B6B6DB5" w:rsidR="000C3914" w:rsidRPr="003C49F6" w:rsidRDefault="000C3914" w:rsidP="000C3914">
            <w:pPr>
              <w:rPr>
                <w:rFonts w:ascii="Arial" w:hAnsi="Arial" w:cs="Arial"/>
              </w:rPr>
            </w:pPr>
            <w:r w:rsidRPr="003C49F6">
              <w:rPr>
                <w:rFonts w:ascii="Arial" w:hAnsi="Arial" w:cs="Arial"/>
              </w:rPr>
              <w:t>1.4%</w:t>
            </w:r>
          </w:p>
        </w:tc>
        <w:tc>
          <w:tcPr>
            <w:tcW w:w="1375" w:type="dxa"/>
          </w:tcPr>
          <w:p w14:paraId="54B57336" w14:textId="7E7F84C5" w:rsidR="000C3914" w:rsidRPr="003C49F6" w:rsidRDefault="000C3914" w:rsidP="000C3914">
            <w:pPr>
              <w:rPr>
                <w:rFonts w:ascii="Arial" w:hAnsi="Arial" w:cs="Arial"/>
              </w:rPr>
            </w:pPr>
            <w:r w:rsidRPr="003C49F6">
              <w:rPr>
                <w:rFonts w:ascii="Arial" w:hAnsi="Arial" w:cs="Arial"/>
              </w:rPr>
              <w:t>2.4%</w:t>
            </w:r>
          </w:p>
        </w:tc>
        <w:tc>
          <w:tcPr>
            <w:tcW w:w="1375" w:type="dxa"/>
          </w:tcPr>
          <w:p w14:paraId="5011B5E8" w14:textId="3CB0C385" w:rsidR="000C3914" w:rsidRPr="003C49F6" w:rsidRDefault="000C3914" w:rsidP="000C3914">
            <w:pPr>
              <w:rPr>
                <w:rFonts w:ascii="Arial" w:hAnsi="Arial" w:cs="Arial"/>
              </w:rPr>
            </w:pPr>
            <w:r w:rsidRPr="003C49F6">
              <w:rPr>
                <w:rFonts w:ascii="Arial" w:hAnsi="Arial" w:cs="Arial"/>
              </w:rPr>
              <w:t>2.6%</w:t>
            </w:r>
          </w:p>
        </w:tc>
      </w:tr>
      <w:tr w:rsidR="000C3914" w:rsidRPr="003C49F6" w14:paraId="49271F88" w14:textId="77777777" w:rsidTr="007448F5">
        <w:tc>
          <w:tcPr>
            <w:tcW w:w="1380" w:type="dxa"/>
          </w:tcPr>
          <w:p w14:paraId="0BDDB175" w14:textId="77777777" w:rsidR="000C3914" w:rsidRPr="003C49F6" w:rsidRDefault="000C3914" w:rsidP="000C3914">
            <w:pPr>
              <w:rPr>
                <w:rFonts w:ascii="Arial" w:hAnsi="Arial" w:cs="Arial"/>
              </w:rPr>
            </w:pPr>
            <w:r w:rsidRPr="003C49F6">
              <w:rPr>
                <w:rFonts w:ascii="Arial" w:hAnsi="Arial" w:cs="Arial"/>
              </w:rPr>
              <w:t xml:space="preserve">Total </w:t>
            </w:r>
          </w:p>
        </w:tc>
        <w:tc>
          <w:tcPr>
            <w:tcW w:w="1374" w:type="dxa"/>
          </w:tcPr>
          <w:p w14:paraId="52ED96FE" w14:textId="76A81BFF" w:rsidR="000C3914" w:rsidRPr="003C49F6" w:rsidRDefault="000C3914" w:rsidP="000C3914">
            <w:pPr>
              <w:rPr>
                <w:rFonts w:ascii="Arial" w:hAnsi="Arial" w:cs="Arial"/>
              </w:rPr>
            </w:pPr>
            <w:r w:rsidRPr="003C49F6">
              <w:rPr>
                <w:rFonts w:ascii="Arial" w:hAnsi="Arial" w:cs="Arial"/>
              </w:rPr>
              <w:t>7.4%</w:t>
            </w:r>
          </w:p>
        </w:tc>
        <w:tc>
          <w:tcPr>
            <w:tcW w:w="1375" w:type="dxa"/>
          </w:tcPr>
          <w:p w14:paraId="7FC65EAB" w14:textId="7DA749AA" w:rsidR="000C3914" w:rsidRPr="003C49F6" w:rsidRDefault="000C3914" w:rsidP="000C3914">
            <w:pPr>
              <w:rPr>
                <w:rFonts w:ascii="Arial" w:hAnsi="Arial" w:cs="Arial"/>
              </w:rPr>
            </w:pPr>
            <w:r w:rsidRPr="003C49F6">
              <w:rPr>
                <w:rFonts w:ascii="Arial" w:hAnsi="Arial" w:cs="Arial"/>
              </w:rPr>
              <w:t>6.1%</w:t>
            </w:r>
          </w:p>
        </w:tc>
        <w:tc>
          <w:tcPr>
            <w:tcW w:w="1375" w:type="dxa"/>
          </w:tcPr>
          <w:p w14:paraId="782AC280" w14:textId="4EB2514A" w:rsidR="000C3914" w:rsidRPr="003C49F6" w:rsidRDefault="000C3914" w:rsidP="000C3914">
            <w:pPr>
              <w:rPr>
                <w:rFonts w:ascii="Arial" w:hAnsi="Arial" w:cs="Arial"/>
              </w:rPr>
            </w:pPr>
            <w:r w:rsidRPr="003C49F6">
              <w:rPr>
                <w:rFonts w:ascii="Arial" w:hAnsi="Arial" w:cs="Arial"/>
              </w:rPr>
              <w:t>3.0%</w:t>
            </w:r>
          </w:p>
        </w:tc>
        <w:tc>
          <w:tcPr>
            <w:tcW w:w="1375" w:type="dxa"/>
          </w:tcPr>
          <w:p w14:paraId="1B74966C" w14:textId="5E8E7C49" w:rsidR="000C3914" w:rsidRPr="003C49F6" w:rsidRDefault="000C3914" w:rsidP="000C3914">
            <w:pPr>
              <w:rPr>
                <w:rFonts w:ascii="Arial" w:hAnsi="Arial" w:cs="Arial"/>
              </w:rPr>
            </w:pPr>
            <w:r w:rsidRPr="003C49F6">
              <w:rPr>
                <w:rFonts w:ascii="Arial" w:hAnsi="Arial" w:cs="Arial"/>
              </w:rPr>
              <w:t>4.2%</w:t>
            </w:r>
          </w:p>
        </w:tc>
        <w:tc>
          <w:tcPr>
            <w:tcW w:w="1375" w:type="dxa"/>
          </w:tcPr>
          <w:p w14:paraId="62BB72B1" w14:textId="6DFB3B08" w:rsidR="000C3914" w:rsidRPr="003C49F6" w:rsidRDefault="000C3914" w:rsidP="000C3914">
            <w:pPr>
              <w:rPr>
                <w:rFonts w:ascii="Arial" w:hAnsi="Arial" w:cs="Arial"/>
              </w:rPr>
            </w:pPr>
            <w:r w:rsidRPr="003C49F6">
              <w:rPr>
                <w:rFonts w:ascii="Arial" w:hAnsi="Arial" w:cs="Arial"/>
              </w:rPr>
              <w:t>6.7%</w:t>
            </w:r>
          </w:p>
        </w:tc>
        <w:tc>
          <w:tcPr>
            <w:tcW w:w="1375" w:type="dxa"/>
          </w:tcPr>
          <w:p w14:paraId="4C2BD8C0" w14:textId="624E9881" w:rsidR="000C3914" w:rsidRPr="003C49F6" w:rsidRDefault="000C3914" w:rsidP="000C3914">
            <w:pPr>
              <w:rPr>
                <w:rFonts w:ascii="Arial" w:hAnsi="Arial" w:cs="Arial"/>
              </w:rPr>
            </w:pPr>
            <w:r w:rsidRPr="003C49F6">
              <w:rPr>
                <w:rFonts w:ascii="Arial" w:hAnsi="Arial" w:cs="Arial"/>
              </w:rPr>
              <w:t>7.1%</w:t>
            </w:r>
          </w:p>
        </w:tc>
      </w:tr>
    </w:tbl>
    <w:p w14:paraId="2020AB98" w14:textId="1C8ED321" w:rsidR="00147288" w:rsidRPr="00B82E1F" w:rsidRDefault="0010326B" w:rsidP="00782688">
      <w:pPr>
        <w:pStyle w:val="Heading1"/>
        <w:rPr>
          <w:rFonts w:cs="Arial"/>
        </w:rPr>
      </w:pPr>
      <w:bookmarkStart w:id="36" w:name="_Toc194938465"/>
      <w:r w:rsidRPr="003C49F6">
        <w:rPr>
          <w:rFonts w:cs="Arial"/>
        </w:rPr>
        <w:t xml:space="preserve">6. </w:t>
      </w:r>
      <w:r w:rsidR="009D3E82" w:rsidRPr="003C49F6">
        <w:rPr>
          <w:rFonts w:cs="Arial"/>
        </w:rPr>
        <w:t>Industry comparison</w:t>
      </w:r>
      <w:r w:rsidR="00782688" w:rsidRPr="003C49F6">
        <w:rPr>
          <w:rFonts w:cs="Arial"/>
        </w:rPr>
        <w:t>s</w:t>
      </w:r>
      <w:bookmarkEnd w:id="36"/>
    </w:p>
    <w:p w14:paraId="71CE9FE1" w14:textId="77777777" w:rsidR="00407F70" w:rsidRPr="00B82E1F" w:rsidRDefault="00407F70" w:rsidP="00407F70">
      <w:pPr>
        <w:rPr>
          <w:sz w:val="8"/>
          <w:szCs w:val="8"/>
        </w:rPr>
      </w:pPr>
    </w:p>
    <w:p w14:paraId="46311BDF" w14:textId="77777777" w:rsidR="00E82629" w:rsidRPr="003C49F6" w:rsidRDefault="00E82629" w:rsidP="00C4354E">
      <w:pPr>
        <w:pStyle w:val="ListParagraph"/>
        <w:numPr>
          <w:ilvl w:val="0"/>
          <w:numId w:val="8"/>
        </w:numPr>
        <w:rPr>
          <w:rFonts w:ascii="Arial" w:hAnsi="Arial" w:cs="Arial"/>
          <w:sz w:val="23"/>
          <w:szCs w:val="23"/>
        </w:rPr>
      </w:pPr>
      <w:r w:rsidRPr="003C49F6">
        <w:rPr>
          <w:rFonts w:ascii="Arial" w:hAnsi="Arial" w:cs="Arial"/>
          <w:sz w:val="23"/>
          <w:szCs w:val="23"/>
        </w:rPr>
        <w:t>Tourism’s share of direct GVA for the state in 2023-24 (2.7%) was above other key industries including agriculture, forestry and fishing (2.4%) and mining (0.9%). The highest contribution was delivered by health care and social assistance (9.7%), followed by financial and insurance services (9.6%) and professional, scientific and technical services (9.4%), then construction (8.3%).</w:t>
      </w:r>
    </w:p>
    <w:p w14:paraId="65071B44" w14:textId="0E31A1F3" w:rsidR="00E82629" w:rsidRPr="003C49F6" w:rsidRDefault="00E82629" w:rsidP="00C4354E">
      <w:pPr>
        <w:pStyle w:val="ListParagraph"/>
        <w:numPr>
          <w:ilvl w:val="0"/>
          <w:numId w:val="8"/>
        </w:numPr>
        <w:rPr>
          <w:rFonts w:ascii="Arial" w:hAnsi="Arial" w:cs="Arial"/>
          <w:sz w:val="23"/>
          <w:szCs w:val="23"/>
        </w:rPr>
      </w:pPr>
      <w:r w:rsidRPr="003C49F6">
        <w:rPr>
          <w:rFonts w:ascii="Arial" w:hAnsi="Arial" w:cs="Arial"/>
          <w:sz w:val="23"/>
          <w:szCs w:val="23"/>
        </w:rPr>
        <w:t>Tourism’s share of direct GVA rose by 0.2% points from 2022–23, matching growth in the construction sector, with only health care and social assistance experiencing higher growth (+0.3%). The largest decline in share of GVA was noted in the mining sector, down 0.8% points from 2022-23 to 2023-24</w:t>
      </w:r>
      <w:r w:rsidR="00C4354E" w:rsidRPr="003C49F6">
        <w:rPr>
          <w:rFonts w:ascii="Arial" w:hAnsi="Arial" w:cs="Arial"/>
          <w:sz w:val="23"/>
          <w:szCs w:val="23"/>
        </w:rPr>
        <w:t>.</w:t>
      </w:r>
    </w:p>
    <w:p w14:paraId="5CADF710" w14:textId="20825391" w:rsidR="00E82629" w:rsidRPr="003C49F6" w:rsidRDefault="00E82629" w:rsidP="00C4354E">
      <w:pPr>
        <w:pStyle w:val="ListParagraph"/>
        <w:numPr>
          <w:ilvl w:val="0"/>
          <w:numId w:val="8"/>
        </w:numPr>
        <w:rPr>
          <w:rFonts w:ascii="Arial" w:hAnsi="Arial" w:cs="Arial"/>
          <w:sz w:val="23"/>
          <w:szCs w:val="23"/>
        </w:rPr>
      </w:pPr>
      <w:r w:rsidRPr="003C49F6">
        <w:rPr>
          <w:rFonts w:ascii="Arial" w:hAnsi="Arial" w:cs="Arial"/>
          <w:sz w:val="23"/>
          <w:szCs w:val="23"/>
        </w:rPr>
        <w:t>Tourism’s share of direct filled jobs for the state (4.5%), increased by 0.2% points compared to 2022-23. This growth outpaced most other industries, with only education and training (+0.4% points), and health care and social assistance (+0.8% points) noting higher increases</w:t>
      </w:r>
      <w:r w:rsidR="00C4354E" w:rsidRPr="003C49F6">
        <w:rPr>
          <w:rFonts w:ascii="Arial" w:hAnsi="Arial" w:cs="Arial"/>
          <w:sz w:val="23"/>
          <w:szCs w:val="23"/>
        </w:rPr>
        <w:t>.</w:t>
      </w:r>
    </w:p>
    <w:p w14:paraId="16EEA828" w14:textId="77777777" w:rsidR="00C4354E" w:rsidRPr="003C49F6" w:rsidRDefault="00E82629" w:rsidP="00C4354E">
      <w:pPr>
        <w:pStyle w:val="ListParagraph"/>
        <w:numPr>
          <w:ilvl w:val="0"/>
          <w:numId w:val="8"/>
        </w:numPr>
        <w:rPr>
          <w:rFonts w:ascii="Arial" w:hAnsi="Arial" w:cs="Arial"/>
          <w:sz w:val="23"/>
          <w:szCs w:val="23"/>
        </w:rPr>
      </w:pPr>
      <w:r w:rsidRPr="003C49F6">
        <w:rPr>
          <w:rFonts w:ascii="Arial" w:hAnsi="Arial" w:cs="Arial"/>
          <w:sz w:val="23"/>
          <w:szCs w:val="23"/>
        </w:rPr>
        <w:t xml:space="preserve">Direct tourism-filled jobs made a higher contribution to filled jobs in Victoria than financial and insurance services (3.5%), agriculture, forestry and fishing (2.6%) and mining (0.3%) in 2023-24. </w:t>
      </w:r>
    </w:p>
    <w:p w14:paraId="07A1A955" w14:textId="1C76DC50" w:rsidR="00AC4245" w:rsidRPr="00B82E1F" w:rsidRDefault="0010326B" w:rsidP="00E82629">
      <w:pPr>
        <w:pStyle w:val="Heading2"/>
        <w:spacing w:before="240" w:after="120"/>
        <w:rPr>
          <w:rFonts w:ascii="Arial" w:eastAsiaTheme="minorHAnsi" w:hAnsi="Arial" w:cs="Arial"/>
          <w:color w:val="002060"/>
        </w:rPr>
      </w:pPr>
      <w:bookmarkStart w:id="37" w:name="_Toc194938466"/>
      <w:r w:rsidRPr="00B82E1F">
        <w:rPr>
          <w:rFonts w:ascii="Arial" w:eastAsiaTheme="minorHAnsi" w:hAnsi="Arial" w:cs="Arial"/>
          <w:color w:val="002060"/>
        </w:rPr>
        <w:lastRenderedPageBreak/>
        <w:t xml:space="preserve">6.1 </w:t>
      </w:r>
      <w:r w:rsidR="00AC4245" w:rsidRPr="00B82E1F">
        <w:rPr>
          <w:rFonts w:ascii="Arial" w:eastAsiaTheme="minorHAnsi" w:hAnsi="Arial" w:cs="Arial"/>
          <w:color w:val="002060"/>
        </w:rPr>
        <w:t>Data tables</w:t>
      </w:r>
      <w:bookmarkEnd w:id="37"/>
    </w:p>
    <w:p w14:paraId="185EC468" w14:textId="495B4156" w:rsidR="00620273" w:rsidRPr="00B82E1F" w:rsidRDefault="0010326B" w:rsidP="00313271">
      <w:pPr>
        <w:pStyle w:val="Heading3"/>
        <w:spacing w:before="240" w:after="120"/>
        <w:rPr>
          <w:rFonts w:ascii="Arial" w:eastAsiaTheme="minorHAnsi" w:hAnsi="Arial" w:cs="Arial"/>
          <w:color w:val="002060"/>
        </w:rPr>
      </w:pPr>
      <w:r w:rsidRPr="001B0A6C">
        <w:rPr>
          <w:rFonts w:ascii="Arial" w:eastAsiaTheme="minorHAnsi" w:hAnsi="Arial" w:cs="Arial"/>
          <w:color w:val="002060"/>
        </w:rPr>
        <w:t xml:space="preserve">6.1.1 </w:t>
      </w:r>
      <w:r w:rsidR="00FB4D13" w:rsidRPr="001B0A6C">
        <w:rPr>
          <w:rFonts w:ascii="Arial" w:eastAsiaTheme="minorHAnsi" w:hAnsi="Arial" w:cs="Arial"/>
          <w:color w:val="002060"/>
        </w:rPr>
        <w:t xml:space="preserve">Industry </w:t>
      </w:r>
      <w:r w:rsidR="009D3E82" w:rsidRPr="001B0A6C">
        <w:rPr>
          <w:rFonts w:ascii="Arial" w:eastAsiaTheme="minorHAnsi" w:hAnsi="Arial" w:cs="Arial"/>
          <w:color w:val="002060"/>
        </w:rPr>
        <w:t xml:space="preserve">contribution to </w:t>
      </w:r>
      <w:r w:rsidR="00AA5585" w:rsidRPr="001B0A6C">
        <w:rPr>
          <w:rFonts w:ascii="Arial" w:eastAsiaTheme="minorHAnsi" w:hAnsi="Arial" w:cs="Arial"/>
          <w:color w:val="002060"/>
        </w:rPr>
        <w:t xml:space="preserve">direct </w:t>
      </w:r>
      <w:r w:rsidR="009D3E82" w:rsidRPr="001B0A6C">
        <w:rPr>
          <w:rFonts w:ascii="Arial" w:eastAsiaTheme="minorHAnsi" w:hAnsi="Arial" w:cs="Arial"/>
          <w:color w:val="002060"/>
        </w:rPr>
        <w:t xml:space="preserve">GVA in Victoria </w:t>
      </w:r>
      <w:r w:rsidR="00B95988" w:rsidRPr="001B0A6C">
        <w:rPr>
          <w:rFonts w:ascii="Arial" w:eastAsiaTheme="minorHAnsi" w:hAnsi="Arial" w:cs="Arial"/>
          <w:color w:val="002060"/>
        </w:rPr>
        <w:t xml:space="preserve">in </w:t>
      </w:r>
      <w:r w:rsidR="00087CA3" w:rsidRPr="001B0A6C">
        <w:rPr>
          <w:rFonts w:ascii="Arial" w:eastAsiaTheme="minorHAnsi" w:hAnsi="Arial" w:cs="Arial"/>
          <w:color w:val="002060"/>
        </w:rPr>
        <w:t>2023-24</w:t>
      </w:r>
      <w:r w:rsidR="000E7245" w:rsidRPr="001B0A6C">
        <w:rPr>
          <w:rFonts w:ascii="Arial" w:eastAsiaTheme="minorHAnsi" w:hAnsi="Arial" w:cs="Arial"/>
          <w:color w:val="002060"/>
        </w:rPr>
        <w:t xml:space="preserve"> (</w:t>
      </w:r>
      <w:r w:rsidR="00003D2A" w:rsidRPr="001B0A6C">
        <w:rPr>
          <w:rFonts w:ascii="Arial" w:eastAsiaTheme="minorHAnsi" w:hAnsi="Arial" w:cs="Arial"/>
          <w:color w:val="002060"/>
        </w:rPr>
        <w:t>percentage</w:t>
      </w:r>
      <w:r w:rsidR="000E7245" w:rsidRPr="001B0A6C">
        <w:rPr>
          <w:rFonts w:ascii="Arial" w:eastAsiaTheme="minorHAnsi" w:hAnsi="Arial" w:cs="Arial"/>
          <w:color w:val="002060"/>
        </w:rPr>
        <w:t xml:space="preserve"> share of Victoria’s GVA)</w:t>
      </w:r>
      <w:r w:rsidR="00B95988" w:rsidRPr="001B0A6C">
        <w:rPr>
          <w:rFonts w:ascii="Arial" w:eastAsiaTheme="minorHAnsi" w:hAnsi="Arial" w:cs="Arial"/>
          <w:color w:val="002060"/>
        </w:rPr>
        <w:t xml:space="preserve"> </w:t>
      </w:r>
      <w:r w:rsidR="003F698F" w:rsidRPr="001B0A6C">
        <w:rPr>
          <w:rFonts w:ascii="Arial" w:eastAsiaTheme="minorHAnsi" w:hAnsi="Arial" w:cs="Arial"/>
          <w:color w:val="002060"/>
        </w:rPr>
        <w:t xml:space="preserve">and change in share compared to </w:t>
      </w:r>
      <w:r w:rsidR="001111CF" w:rsidRPr="001B0A6C">
        <w:rPr>
          <w:rFonts w:ascii="Arial" w:eastAsiaTheme="minorHAnsi" w:hAnsi="Arial" w:cs="Arial"/>
          <w:color w:val="002060"/>
        </w:rPr>
        <w:t>2022-23</w:t>
      </w:r>
    </w:p>
    <w:tbl>
      <w:tblPr>
        <w:tblStyle w:val="TableGrid"/>
        <w:tblpPr w:leftFromText="180" w:rightFromText="180" w:vertAnchor="text" w:horzAnchor="margin" w:tblpY="166"/>
        <w:tblW w:w="9493" w:type="dxa"/>
        <w:tblLook w:val="04A0" w:firstRow="1" w:lastRow="0" w:firstColumn="1" w:lastColumn="0" w:noHBand="0" w:noVBand="1"/>
      </w:tblPr>
      <w:tblGrid>
        <w:gridCol w:w="3256"/>
        <w:gridCol w:w="2409"/>
        <w:gridCol w:w="3828"/>
      </w:tblGrid>
      <w:tr w:rsidR="00086B6D" w:rsidRPr="001B0A6C" w14:paraId="3A058E88" w14:textId="77777777" w:rsidTr="006F5A9A">
        <w:trPr>
          <w:trHeight w:val="428"/>
          <w:tblHeader/>
        </w:trPr>
        <w:tc>
          <w:tcPr>
            <w:tcW w:w="3256" w:type="dxa"/>
            <w:tcBorders>
              <w:bottom w:val="nil"/>
            </w:tcBorders>
            <w:shd w:val="clear" w:color="auto" w:fill="E7E6E6" w:themeFill="background2"/>
          </w:tcPr>
          <w:p w14:paraId="5549E4D8" w14:textId="77777777" w:rsidR="00086B6D" w:rsidRPr="001B0A6C" w:rsidRDefault="00086B6D" w:rsidP="00FF14C1">
            <w:pPr>
              <w:rPr>
                <w:rFonts w:ascii="Arial" w:hAnsi="Arial" w:cs="Arial"/>
                <w:b/>
                <w:bCs/>
              </w:rPr>
            </w:pPr>
            <w:bookmarkStart w:id="38" w:name="Title_8" w:colFirst="0" w:colLast="0"/>
            <w:r w:rsidRPr="001B0A6C">
              <w:rPr>
                <w:rFonts w:ascii="Arial" w:hAnsi="Arial" w:cs="Arial"/>
                <w:b/>
                <w:bCs/>
              </w:rPr>
              <w:t xml:space="preserve">Industry </w:t>
            </w:r>
          </w:p>
        </w:tc>
        <w:tc>
          <w:tcPr>
            <w:tcW w:w="2409" w:type="dxa"/>
            <w:tcBorders>
              <w:bottom w:val="nil"/>
            </w:tcBorders>
            <w:shd w:val="clear" w:color="auto" w:fill="E7E6E6" w:themeFill="background2"/>
          </w:tcPr>
          <w:p w14:paraId="0EDD141B" w14:textId="76D652E2" w:rsidR="00EF4303" w:rsidRPr="001B0A6C" w:rsidRDefault="00086B6D" w:rsidP="00FF14C1">
            <w:pPr>
              <w:rPr>
                <w:rFonts w:ascii="Arial" w:hAnsi="Arial" w:cs="Arial"/>
                <w:b/>
                <w:bCs/>
              </w:rPr>
            </w:pPr>
            <w:r w:rsidRPr="001B0A6C">
              <w:rPr>
                <w:rFonts w:ascii="Arial" w:hAnsi="Arial" w:cs="Arial"/>
                <w:b/>
                <w:bCs/>
              </w:rPr>
              <w:t xml:space="preserve">% share of Victoria’s GVA in </w:t>
            </w:r>
            <w:r w:rsidR="00087CA3" w:rsidRPr="001B0A6C">
              <w:rPr>
                <w:rFonts w:ascii="Arial" w:hAnsi="Arial" w:cs="Arial"/>
                <w:b/>
                <w:bCs/>
              </w:rPr>
              <w:t>2023-24</w:t>
            </w:r>
          </w:p>
        </w:tc>
        <w:tc>
          <w:tcPr>
            <w:tcW w:w="3828" w:type="dxa"/>
            <w:tcBorders>
              <w:bottom w:val="nil"/>
            </w:tcBorders>
            <w:shd w:val="clear" w:color="auto" w:fill="E7E6E6" w:themeFill="background2"/>
          </w:tcPr>
          <w:p w14:paraId="5258F6EC" w14:textId="5DD9853E" w:rsidR="00086B6D" w:rsidRPr="001B0A6C" w:rsidRDefault="00086B6D" w:rsidP="00FF14C1">
            <w:pPr>
              <w:rPr>
                <w:rFonts w:ascii="Arial" w:hAnsi="Arial" w:cs="Arial"/>
                <w:b/>
                <w:bCs/>
              </w:rPr>
            </w:pPr>
            <w:r w:rsidRPr="001B0A6C">
              <w:rPr>
                <w:rFonts w:ascii="Arial" w:hAnsi="Arial" w:cs="Arial"/>
                <w:b/>
                <w:bCs/>
              </w:rPr>
              <w:t xml:space="preserve">% point change compared to </w:t>
            </w:r>
            <w:r w:rsidR="001111CF" w:rsidRPr="001B0A6C">
              <w:rPr>
                <w:rFonts w:ascii="Arial" w:hAnsi="Arial" w:cs="Arial"/>
                <w:b/>
                <w:bCs/>
              </w:rPr>
              <w:t>2022-23</w:t>
            </w:r>
          </w:p>
        </w:tc>
      </w:tr>
      <w:bookmarkEnd w:id="38"/>
      <w:tr w:rsidR="0024437F" w:rsidRPr="001B0A6C" w14:paraId="76439A86" w14:textId="77777777" w:rsidTr="006F5A9A">
        <w:trPr>
          <w:trHeight w:val="635"/>
        </w:trPr>
        <w:tc>
          <w:tcPr>
            <w:tcW w:w="3256" w:type="dxa"/>
            <w:shd w:val="clear" w:color="auto" w:fill="E7E6E6" w:themeFill="background2"/>
          </w:tcPr>
          <w:p w14:paraId="1932290F" w14:textId="59DCDA9E" w:rsidR="0024437F" w:rsidRPr="001B0A6C" w:rsidRDefault="0024437F" w:rsidP="0024437F">
            <w:pPr>
              <w:rPr>
                <w:rFonts w:ascii="Arial" w:hAnsi="Arial" w:cs="Arial"/>
              </w:rPr>
            </w:pPr>
            <w:r w:rsidRPr="001B0A6C">
              <w:rPr>
                <w:rFonts w:ascii="Arial" w:hAnsi="Arial" w:cs="Arial"/>
              </w:rPr>
              <w:t xml:space="preserve">Health care </w:t>
            </w:r>
            <w:r w:rsidR="001B0A6C" w:rsidRPr="001B0A6C">
              <w:rPr>
                <w:rFonts w:ascii="Arial" w:hAnsi="Arial" w:cs="Arial"/>
              </w:rPr>
              <w:t>and</w:t>
            </w:r>
            <w:r w:rsidRPr="001B0A6C">
              <w:rPr>
                <w:rFonts w:ascii="Arial" w:hAnsi="Arial" w:cs="Arial"/>
              </w:rPr>
              <w:t xml:space="preserve"> social assistance</w:t>
            </w:r>
          </w:p>
        </w:tc>
        <w:tc>
          <w:tcPr>
            <w:tcW w:w="2409" w:type="dxa"/>
          </w:tcPr>
          <w:p w14:paraId="345DEB68" w14:textId="4A6B6A7E" w:rsidR="0024437F" w:rsidRPr="001B0A6C" w:rsidRDefault="0024437F" w:rsidP="0024437F">
            <w:pPr>
              <w:rPr>
                <w:rFonts w:ascii="Arial" w:hAnsi="Arial" w:cs="Arial"/>
              </w:rPr>
            </w:pPr>
            <w:r w:rsidRPr="001B0A6C">
              <w:rPr>
                <w:rFonts w:ascii="Arial" w:hAnsi="Arial" w:cs="Arial"/>
              </w:rPr>
              <w:t>9.7</w:t>
            </w:r>
          </w:p>
        </w:tc>
        <w:tc>
          <w:tcPr>
            <w:tcW w:w="3828" w:type="dxa"/>
          </w:tcPr>
          <w:p w14:paraId="121CCF26" w14:textId="64277DD1" w:rsidR="0024437F" w:rsidRPr="001B0A6C" w:rsidRDefault="0024437F" w:rsidP="0024437F">
            <w:pPr>
              <w:rPr>
                <w:rFonts w:ascii="Arial" w:hAnsi="Arial" w:cs="Arial"/>
              </w:rPr>
            </w:pPr>
            <w:r w:rsidRPr="001B0A6C">
              <w:rPr>
                <w:rFonts w:ascii="Arial" w:hAnsi="Arial" w:cs="Arial"/>
              </w:rPr>
              <w:t>Increased 0.</w:t>
            </w:r>
            <w:r w:rsidR="00B16890" w:rsidRPr="001B0A6C">
              <w:rPr>
                <w:rFonts w:ascii="Arial" w:hAnsi="Arial" w:cs="Arial"/>
              </w:rPr>
              <w:t>3</w:t>
            </w:r>
            <w:r w:rsidRPr="001B0A6C">
              <w:rPr>
                <w:rFonts w:ascii="Arial" w:hAnsi="Arial" w:cs="Arial"/>
              </w:rPr>
              <w:t>% point</w:t>
            </w:r>
            <w:r w:rsidR="00BD5091" w:rsidRPr="001B0A6C">
              <w:rPr>
                <w:rFonts w:ascii="Arial" w:hAnsi="Arial" w:cs="Arial"/>
              </w:rPr>
              <w:t>s</w:t>
            </w:r>
            <w:r w:rsidRPr="001B0A6C">
              <w:rPr>
                <w:rFonts w:ascii="Arial" w:hAnsi="Arial" w:cs="Arial"/>
              </w:rPr>
              <w:t xml:space="preserve"> compared to 2022-23 financial year </w:t>
            </w:r>
          </w:p>
        </w:tc>
      </w:tr>
      <w:tr w:rsidR="00D05B98" w:rsidRPr="001B0A6C" w14:paraId="189AF2F3" w14:textId="77777777" w:rsidTr="006F5A9A">
        <w:trPr>
          <w:trHeight w:val="635"/>
        </w:trPr>
        <w:tc>
          <w:tcPr>
            <w:tcW w:w="3256" w:type="dxa"/>
            <w:shd w:val="clear" w:color="auto" w:fill="E7E6E6" w:themeFill="background2"/>
          </w:tcPr>
          <w:p w14:paraId="0EA5098D" w14:textId="5304E16A" w:rsidR="00D05B98" w:rsidRPr="001B0A6C" w:rsidRDefault="00D05B98" w:rsidP="00D05B98">
            <w:pPr>
              <w:rPr>
                <w:rFonts w:ascii="Arial" w:hAnsi="Arial" w:cs="Arial"/>
              </w:rPr>
            </w:pPr>
            <w:r w:rsidRPr="001B0A6C">
              <w:rPr>
                <w:rFonts w:ascii="Arial" w:hAnsi="Arial" w:cs="Arial"/>
              </w:rPr>
              <w:t>Financial and insurance services</w:t>
            </w:r>
          </w:p>
        </w:tc>
        <w:tc>
          <w:tcPr>
            <w:tcW w:w="2409" w:type="dxa"/>
          </w:tcPr>
          <w:p w14:paraId="6C6C1A12" w14:textId="15E149E7" w:rsidR="00D05B98" w:rsidRPr="001B0A6C" w:rsidRDefault="00D05B98" w:rsidP="00D05B98">
            <w:pPr>
              <w:rPr>
                <w:rFonts w:ascii="Arial" w:hAnsi="Arial" w:cs="Arial"/>
              </w:rPr>
            </w:pPr>
            <w:r w:rsidRPr="001B0A6C">
              <w:rPr>
                <w:rFonts w:ascii="Arial" w:hAnsi="Arial" w:cs="Arial"/>
              </w:rPr>
              <w:t>9.6</w:t>
            </w:r>
          </w:p>
        </w:tc>
        <w:tc>
          <w:tcPr>
            <w:tcW w:w="3828" w:type="dxa"/>
          </w:tcPr>
          <w:p w14:paraId="0A31190E" w14:textId="75BEC63D" w:rsidR="00D05B98" w:rsidRPr="001B0A6C" w:rsidRDefault="00D05B98" w:rsidP="00D05B98">
            <w:pPr>
              <w:rPr>
                <w:rFonts w:ascii="Arial" w:hAnsi="Arial" w:cs="Arial"/>
              </w:rPr>
            </w:pPr>
            <w:r w:rsidRPr="001B0A6C">
              <w:rPr>
                <w:rFonts w:ascii="Arial" w:hAnsi="Arial" w:cs="Arial"/>
              </w:rPr>
              <w:t>No change compared to 2022-23 financial year</w:t>
            </w:r>
          </w:p>
        </w:tc>
      </w:tr>
      <w:tr w:rsidR="00D05B98" w:rsidRPr="001B0A6C" w14:paraId="13A1D68D" w14:textId="77777777" w:rsidTr="006F5A9A">
        <w:trPr>
          <w:trHeight w:val="633"/>
        </w:trPr>
        <w:tc>
          <w:tcPr>
            <w:tcW w:w="3256" w:type="dxa"/>
            <w:shd w:val="clear" w:color="auto" w:fill="E7E6E6" w:themeFill="background2"/>
          </w:tcPr>
          <w:p w14:paraId="1A8C0FF3" w14:textId="60082124" w:rsidR="00D05B98" w:rsidRPr="001B0A6C" w:rsidRDefault="00D05B98" w:rsidP="00D05B98">
            <w:pPr>
              <w:rPr>
                <w:rFonts w:ascii="Arial" w:hAnsi="Arial" w:cs="Arial"/>
              </w:rPr>
            </w:pPr>
            <w:r w:rsidRPr="001B0A6C">
              <w:rPr>
                <w:rFonts w:ascii="Arial" w:hAnsi="Arial" w:cs="Arial"/>
              </w:rPr>
              <w:t>Professional, scientific and technical</w:t>
            </w:r>
          </w:p>
        </w:tc>
        <w:tc>
          <w:tcPr>
            <w:tcW w:w="2409" w:type="dxa"/>
          </w:tcPr>
          <w:p w14:paraId="0A4CAE21" w14:textId="7C69AC35" w:rsidR="00D05B98" w:rsidRPr="001B0A6C" w:rsidRDefault="00D05B98" w:rsidP="00D05B98">
            <w:pPr>
              <w:rPr>
                <w:rFonts w:ascii="Arial" w:hAnsi="Arial" w:cs="Arial"/>
              </w:rPr>
            </w:pPr>
            <w:r w:rsidRPr="001B0A6C">
              <w:rPr>
                <w:rFonts w:ascii="Arial" w:hAnsi="Arial" w:cs="Arial"/>
              </w:rPr>
              <w:t>9.4</w:t>
            </w:r>
          </w:p>
        </w:tc>
        <w:tc>
          <w:tcPr>
            <w:tcW w:w="3828" w:type="dxa"/>
          </w:tcPr>
          <w:p w14:paraId="3AC0DB17" w14:textId="40304EA3" w:rsidR="00D05B98" w:rsidRPr="001B0A6C" w:rsidRDefault="00D05B98" w:rsidP="00D05B98">
            <w:pPr>
              <w:rPr>
                <w:rFonts w:ascii="Arial" w:hAnsi="Arial" w:cs="Arial"/>
              </w:rPr>
            </w:pPr>
            <w:r w:rsidRPr="001B0A6C">
              <w:rPr>
                <w:rFonts w:ascii="Arial" w:hAnsi="Arial" w:cs="Arial"/>
              </w:rPr>
              <w:t>No change compared to 2022-23 financial year</w:t>
            </w:r>
          </w:p>
        </w:tc>
      </w:tr>
      <w:tr w:rsidR="0024437F" w:rsidRPr="001B0A6C" w14:paraId="5AF537A4" w14:textId="77777777" w:rsidTr="006F5A9A">
        <w:trPr>
          <w:trHeight w:val="629"/>
        </w:trPr>
        <w:tc>
          <w:tcPr>
            <w:tcW w:w="3256" w:type="dxa"/>
            <w:shd w:val="clear" w:color="auto" w:fill="E7E6E6" w:themeFill="background2"/>
          </w:tcPr>
          <w:p w14:paraId="42B0A6DB" w14:textId="2E3BDB98" w:rsidR="0024437F" w:rsidRPr="001B0A6C" w:rsidRDefault="0024437F" w:rsidP="0024437F">
            <w:pPr>
              <w:rPr>
                <w:rFonts w:ascii="Arial" w:hAnsi="Arial" w:cs="Arial"/>
              </w:rPr>
            </w:pPr>
            <w:r w:rsidRPr="001B0A6C">
              <w:rPr>
                <w:rFonts w:ascii="Arial" w:hAnsi="Arial" w:cs="Arial"/>
              </w:rPr>
              <w:t>Construction</w:t>
            </w:r>
          </w:p>
        </w:tc>
        <w:tc>
          <w:tcPr>
            <w:tcW w:w="2409" w:type="dxa"/>
          </w:tcPr>
          <w:p w14:paraId="0DFDEBEA" w14:textId="162E9F56" w:rsidR="0024437F" w:rsidRPr="001B0A6C" w:rsidRDefault="0024437F" w:rsidP="0024437F">
            <w:pPr>
              <w:rPr>
                <w:rFonts w:ascii="Arial" w:hAnsi="Arial" w:cs="Arial"/>
              </w:rPr>
            </w:pPr>
            <w:r w:rsidRPr="001B0A6C">
              <w:rPr>
                <w:rFonts w:ascii="Arial" w:hAnsi="Arial" w:cs="Arial"/>
              </w:rPr>
              <w:t>8.3</w:t>
            </w:r>
          </w:p>
        </w:tc>
        <w:tc>
          <w:tcPr>
            <w:tcW w:w="3828" w:type="dxa"/>
          </w:tcPr>
          <w:p w14:paraId="61502701" w14:textId="1C3EC460" w:rsidR="0024437F" w:rsidRPr="001B0A6C" w:rsidRDefault="00E63664" w:rsidP="0024437F">
            <w:pPr>
              <w:rPr>
                <w:rFonts w:ascii="Arial" w:hAnsi="Arial" w:cs="Arial"/>
              </w:rPr>
            </w:pPr>
            <w:r w:rsidRPr="001B0A6C">
              <w:rPr>
                <w:rFonts w:ascii="Arial" w:hAnsi="Arial" w:cs="Arial"/>
              </w:rPr>
              <w:t>In</w:t>
            </w:r>
            <w:r w:rsidR="0024437F" w:rsidRPr="001B0A6C">
              <w:rPr>
                <w:rFonts w:ascii="Arial" w:hAnsi="Arial" w:cs="Arial"/>
              </w:rPr>
              <w:t>creased 0.</w:t>
            </w:r>
            <w:r w:rsidRPr="001B0A6C">
              <w:rPr>
                <w:rFonts w:ascii="Arial" w:hAnsi="Arial" w:cs="Arial"/>
              </w:rPr>
              <w:t>2</w:t>
            </w:r>
            <w:r w:rsidR="0024437F" w:rsidRPr="001B0A6C">
              <w:rPr>
                <w:rFonts w:ascii="Arial" w:hAnsi="Arial" w:cs="Arial"/>
              </w:rPr>
              <w:t xml:space="preserve">% points compared to 2022-23 financial year </w:t>
            </w:r>
          </w:p>
        </w:tc>
      </w:tr>
      <w:tr w:rsidR="0024437F" w:rsidRPr="001B0A6C" w14:paraId="33AA2768" w14:textId="77777777" w:rsidTr="006F5A9A">
        <w:trPr>
          <w:trHeight w:val="666"/>
        </w:trPr>
        <w:tc>
          <w:tcPr>
            <w:tcW w:w="3256" w:type="dxa"/>
            <w:shd w:val="clear" w:color="auto" w:fill="E7E6E6" w:themeFill="background2"/>
          </w:tcPr>
          <w:p w14:paraId="0C646619" w14:textId="1FDFEBCD" w:rsidR="0024437F" w:rsidRPr="001B0A6C" w:rsidRDefault="0024437F" w:rsidP="0024437F">
            <w:pPr>
              <w:rPr>
                <w:rFonts w:ascii="Arial" w:hAnsi="Arial" w:cs="Arial"/>
              </w:rPr>
            </w:pPr>
            <w:r w:rsidRPr="001B0A6C">
              <w:rPr>
                <w:rFonts w:ascii="Arial" w:hAnsi="Arial" w:cs="Arial"/>
              </w:rPr>
              <w:t>Manufacturing</w:t>
            </w:r>
          </w:p>
        </w:tc>
        <w:tc>
          <w:tcPr>
            <w:tcW w:w="2409" w:type="dxa"/>
          </w:tcPr>
          <w:p w14:paraId="02AD868E" w14:textId="3A534FE0" w:rsidR="0024437F" w:rsidRPr="001B0A6C" w:rsidRDefault="0024437F" w:rsidP="0024437F">
            <w:pPr>
              <w:rPr>
                <w:rFonts w:ascii="Arial" w:hAnsi="Arial" w:cs="Arial"/>
              </w:rPr>
            </w:pPr>
            <w:r w:rsidRPr="001B0A6C">
              <w:rPr>
                <w:rFonts w:ascii="Arial" w:hAnsi="Arial" w:cs="Arial"/>
              </w:rPr>
              <w:t>7.0</w:t>
            </w:r>
          </w:p>
        </w:tc>
        <w:tc>
          <w:tcPr>
            <w:tcW w:w="3828" w:type="dxa"/>
          </w:tcPr>
          <w:p w14:paraId="560FB546" w14:textId="7D1048FE" w:rsidR="0024437F" w:rsidRPr="001B0A6C" w:rsidRDefault="00E63664" w:rsidP="0024437F">
            <w:pPr>
              <w:rPr>
                <w:rFonts w:ascii="Arial" w:hAnsi="Arial" w:cs="Arial"/>
              </w:rPr>
            </w:pPr>
            <w:r w:rsidRPr="001B0A6C">
              <w:rPr>
                <w:rFonts w:ascii="Arial" w:hAnsi="Arial" w:cs="Arial"/>
              </w:rPr>
              <w:t>In</w:t>
            </w:r>
            <w:r w:rsidR="0024437F" w:rsidRPr="001B0A6C">
              <w:rPr>
                <w:rFonts w:ascii="Arial" w:hAnsi="Arial" w:cs="Arial"/>
              </w:rPr>
              <w:t>creased 0.1% point compared to 2022-23 financial year</w:t>
            </w:r>
          </w:p>
        </w:tc>
      </w:tr>
      <w:tr w:rsidR="0024437F" w:rsidRPr="001B0A6C" w14:paraId="10E504D7" w14:textId="77777777" w:rsidTr="006F5A9A">
        <w:trPr>
          <w:trHeight w:val="657"/>
        </w:trPr>
        <w:tc>
          <w:tcPr>
            <w:tcW w:w="3256" w:type="dxa"/>
            <w:shd w:val="clear" w:color="auto" w:fill="E7E6E6" w:themeFill="background2"/>
          </w:tcPr>
          <w:p w14:paraId="28059561" w14:textId="7E161C3E" w:rsidR="0024437F" w:rsidRPr="001B0A6C" w:rsidRDefault="0024437F" w:rsidP="0024437F">
            <w:pPr>
              <w:rPr>
                <w:rFonts w:ascii="Arial" w:hAnsi="Arial" w:cs="Arial"/>
              </w:rPr>
            </w:pPr>
            <w:r w:rsidRPr="001B0A6C">
              <w:rPr>
                <w:rFonts w:ascii="Arial" w:hAnsi="Arial" w:cs="Arial"/>
              </w:rPr>
              <w:t xml:space="preserve">Education </w:t>
            </w:r>
            <w:r w:rsidR="001B0A6C" w:rsidRPr="001B0A6C">
              <w:rPr>
                <w:rFonts w:ascii="Arial" w:hAnsi="Arial" w:cs="Arial"/>
              </w:rPr>
              <w:t>and</w:t>
            </w:r>
            <w:r w:rsidRPr="001B0A6C">
              <w:rPr>
                <w:rFonts w:ascii="Arial" w:hAnsi="Arial" w:cs="Arial"/>
              </w:rPr>
              <w:t xml:space="preserve"> training</w:t>
            </w:r>
          </w:p>
        </w:tc>
        <w:tc>
          <w:tcPr>
            <w:tcW w:w="2409" w:type="dxa"/>
          </w:tcPr>
          <w:p w14:paraId="7940631B" w14:textId="191A9D7D" w:rsidR="0024437F" w:rsidRPr="001B0A6C" w:rsidRDefault="0024437F" w:rsidP="0024437F">
            <w:pPr>
              <w:rPr>
                <w:rFonts w:ascii="Arial" w:hAnsi="Arial" w:cs="Arial"/>
              </w:rPr>
            </w:pPr>
            <w:r w:rsidRPr="001B0A6C">
              <w:rPr>
                <w:rFonts w:ascii="Arial" w:hAnsi="Arial" w:cs="Arial"/>
              </w:rPr>
              <w:t>5.6</w:t>
            </w:r>
          </w:p>
        </w:tc>
        <w:tc>
          <w:tcPr>
            <w:tcW w:w="3828" w:type="dxa"/>
          </w:tcPr>
          <w:p w14:paraId="3626FDD7" w14:textId="1EEF55B6" w:rsidR="0024437F" w:rsidRPr="001B0A6C" w:rsidRDefault="00463138" w:rsidP="0024437F">
            <w:pPr>
              <w:rPr>
                <w:rFonts w:ascii="Arial" w:hAnsi="Arial" w:cs="Arial"/>
              </w:rPr>
            </w:pPr>
            <w:r w:rsidRPr="001B0A6C">
              <w:rPr>
                <w:rFonts w:ascii="Arial" w:hAnsi="Arial" w:cs="Arial"/>
              </w:rPr>
              <w:t>In</w:t>
            </w:r>
            <w:r w:rsidR="0024437F" w:rsidRPr="001B0A6C">
              <w:rPr>
                <w:rFonts w:ascii="Arial" w:hAnsi="Arial" w:cs="Arial"/>
              </w:rPr>
              <w:t>creased 0.1% point compared to 2022-23 financial year</w:t>
            </w:r>
          </w:p>
        </w:tc>
      </w:tr>
      <w:tr w:rsidR="0024437F" w:rsidRPr="001B0A6C" w14:paraId="4387E4DF" w14:textId="77777777" w:rsidTr="006F5A9A">
        <w:trPr>
          <w:trHeight w:val="657"/>
        </w:trPr>
        <w:tc>
          <w:tcPr>
            <w:tcW w:w="3256" w:type="dxa"/>
            <w:shd w:val="clear" w:color="auto" w:fill="E7E6E6" w:themeFill="background2"/>
          </w:tcPr>
          <w:p w14:paraId="7E6B98F9" w14:textId="07CCF783" w:rsidR="0024437F" w:rsidRPr="001B0A6C" w:rsidRDefault="0024437F" w:rsidP="0024437F">
            <w:pPr>
              <w:rPr>
                <w:rFonts w:ascii="Arial" w:hAnsi="Arial" w:cs="Arial"/>
              </w:rPr>
            </w:pPr>
            <w:r w:rsidRPr="001B0A6C">
              <w:rPr>
                <w:rFonts w:ascii="Arial" w:hAnsi="Arial" w:cs="Arial"/>
              </w:rPr>
              <w:t>Agriculture, forestry and fishing</w:t>
            </w:r>
          </w:p>
        </w:tc>
        <w:tc>
          <w:tcPr>
            <w:tcW w:w="2409" w:type="dxa"/>
          </w:tcPr>
          <w:p w14:paraId="00D87EC6" w14:textId="1F294C3A" w:rsidR="0024437F" w:rsidRPr="001B0A6C" w:rsidRDefault="0024437F" w:rsidP="0024437F">
            <w:pPr>
              <w:rPr>
                <w:rFonts w:ascii="Arial" w:hAnsi="Arial" w:cs="Arial"/>
              </w:rPr>
            </w:pPr>
            <w:r w:rsidRPr="001B0A6C">
              <w:rPr>
                <w:rFonts w:ascii="Arial" w:hAnsi="Arial" w:cs="Arial"/>
              </w:rPr>
              <w:t>2.4</w:t>
            </w:r>
          </w:p>
        </w:tc>
        <w:tc>
          <w:tcPr>
            <w:tcW w:w="3828" w:type="dxa"/>
          </w:tcPr>
          <w:p w14:paraId="0C841E37" w14:textId="1A86F05E" w:rsidR="0024437F" w:rsidRPr="001B0A6C" w:rsidRDefault="0024437F" w:rsidP="0024437F">
            <w:pPr>
              <w:rPr>
                <w:rFonts w:ascii="Arial" w:hAnsi="Arial" w:cs="Arial"/>
              </w:rPr>
            </w:pPr>
            <w:r w:rsidRPr="001B0A6C">
              <w:rPr>
                <w:rFonts w:ascii="Arial" w:hAnsi="Arial" w:cs="Arial"/>
              </w:rPr>
              <w:t xml:space="preserve">Decreased </w:t>
            </w:r>
            <w:r w:rsidR="00463138" w:rsidRPr="001B0A6C">
              <w:rPr>
                <w:rFonts w:ascii="Arial" w:hAnsi="Arial" w:cs="Arial"/>
              </w:rPr>
              <w:t>0.2</w:t>
            </w:r>
            <w:r w:rsidRPr="001B0A6C">
              <w:rPr>
                <w:rFonts w:ascii="Arial" w:hAnsi="Arial" w:cs="Arial"/>
              </w:rPr>
              <w:t xml:space="preserve">% points compared to 2022-23 financial year </w:t>
            </w:r>
          </w:p>
        </w:tc>
      </w:tr>
      <w:tr w:rsidR="0024437F" w:rsidRPr="001B0A6C" w14:paraId="342C3767" w14:textId="77777777" w:rsidTr="006F5A9A">
        <w:trPr>
          <w:trHeight w:val="657"/>
        </w:trPr>
        <w:tc>
          <w:tcPr>
            <w:tcW w:w="3256" w:type="dxa"/>
            <w:shd w:val="clear" w:color="auto" w:fill="E7E6E6" w:themeFill="background2"/>
          </w:tcPr>
          <w:p w14:paraId="1EE72B57" w14:textId="7CE0776A" w:rsidR="0024437F" w:rsidRPr="001B0A6C" w:rsidRDefault="0024437F" w:rsidP="0024437F">
            <w:pPr>
              <w:rPr>
                <w:rFonts w:ascii="Arial" w:hAnsi="Arial" w:cs="Arial"/>
              </w:rPr>
            </w:pPr>
            <w:r w:rsidRPr="001B0A6C">
              <w:rPr>
                <w:rFonts w:ascii="Arial" w:hAnsi="Arial" w:cs="Arial"/>
              </w:rPr>
              <w:t>Mining</w:t>
            </w:r>
          </w:p>
        </w:tc>
        <w:tc>
          <w:tcPr>
            <w:tcW w:w="2409" w:type="dxa"/>
          </w:tcPr>
          <w:p w14:paraId="25766BD1" w14:textId="46BDD2BD" w:rsidR="0024437F" w:rsidRPr="001B0A6C" w:rsidRDefault="0024437F" w:rsidP="0024437F">
            <w:pPr>
              <w:rPr>
                <w:rFonts w:ascii="Arial" w:hAnsi="Arial" w:cs="Arial"/>
              </w:rPr>
            </w:pPr>
            <w:r w:rsidRPr="001B0A6C">
              <w:rPr>
                <w:rFonts w:ascii="Arial" w:hAnsi="Arial" w:cs="Arial"/>
              </w:rPr>
              <w:t>0.9</w:t>
            </w:r>
          </w:p>
        </w:tc>
        <w:tc>
          <w:tcPr>
            <w:tcW w:w="3828" w:type="dxa"/>
          </w:tcPr>
          <w:p w14:paraId="4B130824" w14:textId="119A3672" w:rsidR="0024437F" w:rsidRPr="001B0A6C" w:rsidRDefault="00463138" w:rsidP="0024437F">
            <w:pPr>
              <w:rPr>
                <w:rFonts w:ascii="Arial" w:hAnsi="Arial" w:cs="Arial"/>
              </w:rPr>
            </w:pPr>
            <w:r w:rsidRPr="001B0A6C">
              <w:rPr>
                <w:rFonts w:ascii="Arial" w:hAnsi="Arial" w:cs="Arial"/>
              </w:rPr>
              <w:t>De</w:t>
            </w:r>
            <w:r w:rsidR="0024437F" w:rsidRPr="001B0A6C">
              <w:rPr>
                <w:rFonts w:ascii="Arial" w:hAnsi="Arial" w:cs="Arial"/>
              </w:rPr>
              <w:t>creased 0.</w:t>
            </w:r>
            <w:r w:rsidRPr="001B0A6C">
              <w:rPr>
                <w:rFonts w:ascii="Arial" w:hAnsi="Arial" w:cs="Arial"/>
              </w:rPr>
              <w:t>8</w:t>
            </w:r>
            <w:r w:rsidR="0024437F" w:rsidRPr="001B0A6C">
              <w:rPr>
                <w:rFonts w:ascii="Arial" w:hAnsi="Arial" w:cs="Arial"/>
              </w:rPr>
              <w:t>% point</w:t>
            </w:r>
            <w:r w:rsidR="00BD5091" w:rsidRPr="001B0A6C">
              <w:rPr>
                <w:rFonts w:ascii="Arial" w:hAnsi="Arial" w:cs="Arial"/>
              </w:rPr>
              <w:t>s</w:t>
            </w:r>
            <w:r w:rsidR="0024437F" w:rsidRPr="001B0A6C">
              <w:rPr>
                <w:rFonts w:ascii="Arial" w:hAnsi="Arial" w:cs="Arial"/>
              </w:rPr>
              <w:t xml:space="preserve"> compared to 2022-23 financial year </w:t>
            </w:r>
          </w:p>
        </w:tc>
      </w:tr>
      <w:tr w:rsidR="0024437F" w:rsidRPr="001B0A6C" w14:paraId="7B298D74" w14:textId="77777777" w:rsidTr="006F5A9A">
        <w:trPr>
          <w:trHeight w:val="657"/>
        </w:trPr>
        <w:tc>
          <w:tcPr>
            <w:tcW w:w="3256" w:type="dxa"/>
            <w:shd w:val="clear" w:color="auto" w:fill="E7E6E6" w:themeFill="background2"/>
          </w:tcPr>
          <w:p w14:paraId="0C8F9407" w14:textId="4AEEA501" w:rsidR="0024437F" w:rsidRPr="001B0A6C" w:rsidRDefault="0024437F" w:rsidP="0024437F">
            <w:pPr>
              <w:rPr>
                <w:rFonts w:ascii="Arial" w:hAnsi="Arial" w:cs="Arial"/>
                <w:b/>
                <w:bCs/>
              </w:rPr>
            </w:pPr>
            <w:r w:rsidRPr="001B0A6C">
              <w:rPr>
                <w:rFonts w:ascii="Arial" w:hAnsi="Arial" w:cs="Arial"/>
              </w:rPr>
              <w:t xml:space="preserve">Tourism – Direct </w:t>
            </w:r>
          </w:p>
        </w:tc>
        <w:tc>
          <w:tcPr>
            <w:tcW w:w="2409" w:type="dxa"/>
          </w:tcPr>
          <w:p w14:paraId="7B2E94CD" w14:textId="73859499" w:rsidR="0024437F" w:rsidRPr="001B0A6C" w:rsidRDefault="0024437F" w:rsidP="0024437F">
            <w:pPr>
              <w:rPr>
                <w:rFonts w:ascii="Arial" w:hAnsi="Arial" w:cs="Arial"/>
                <w:b/>
                <w:bCs/>
              </w:rPr>
            </w:pPr>
            <w:r w:rsidRPr="001B0A6C">
              <w:rPr>
                <w:rFonts w:ascii="Arial" w:hAnsi="Arial" w:cs="Arial"/>
              </w:rPr>
              <w:t>2.7</w:t>
            </w:r>
          </w:p>
        </w:tc>
        <w:tc>
          <w:tcPr>
            <w:tcW w:w="3828" w:type="dxa"/>
          </w:tcPr>
          <w:p w14:paraId="450F6885" w14:textId="09095A7A" w:rsidR="0024437F" w:rsidRPr="001B0A6C" w:rsidRDefault="0024437F" w:rsidP="0024437F">
            <w:pPr>
              <w:rPr>
                <w:rFonts w:ascii="Arial" w:hAnsi="Arial" w:cs="Arial"/>
                <w:b/>
                <w:bCs/>
              </w:rPr>
            </w:pPr>
            <w:r w:rsidRPr="001B0A6C">
              <w:rPr>
                <w:rFonts w:ascii="Arial" w:hAnsi="Arial" w:cs="Arial"/>
                <w:b/>
                <w:bCs/>
              </w:rPr>
              <w:t>Increased 0.</w:t>
            </w:r>
            <w:r w:rsidR="00463138" w:rsidRPr="001B0A6C">
              <w:rPr>
                <w:rFonts w:ascii="Arial" w:hAnsi="Arial" w:cs="Arial"/>
                <w:b/>
                <w:bCs/>
              </w:rPr>
              <w:t>2</w:t>
            </w:r>
            <w:r w:rsidRPr="001B0A6C">
              <w:rPr>
                <w:rFonts w:ascii="Arial" w:hAnsi="Arial" w:cs="Arial"/>
                <w:b/>
                <w:bCs/>
              </w:rPr>
              <w:t xml:space="preserve">% points compared to 2022-23 financial year </w:t>
            </w:r>
          </w:p>
        </w:tc>
      </w:tr>
    </w:tbl>
    <w:p w14:paraId="21B69D9F" w14:textId="77777777" w:rsidR="00147707" w:rsidRPr="001B0A6C" w:rsidRDefault="00147707" w:rsidP="001849BC">
      <w:pPr>
        <w:pStyle w:val="NoSpacing"/>
        <w:rPr>
          <w:rFonts w:ascii="Arial" w:hAnsi="Arial" w:cs="Arial"/>
        </w:rPr>
      </w:pPr>
    </w:p>
    <w:p w14:paraId="7D5FF20F" w14:textId="527FDF49" w:rsidR="007D0A09" w:rsidRPr="00B82E1F" w:rsidRDefault="0010326B" w:rsidP="00313271">
      <w:pPr>
        <w:pStyle w:val="Heading3"/>
        <w:spacing w:before="120" w:after="120"/>
        <w:rPr>
          <w:rFonts w:ascii="Arial" w:eastAsiaTheme="minorHAnsi" w:hAnsi="Arial" w:cs="Arial"/>
          <w:color w:val="002060"/>
        </w:rPr>
      </w:pPr>
      <w:r w:rsidRPr="001B0A6C">
        <w:rPr>
          <w:rFonts w:ascii="Arial" w:eastAsiaTheme="minorHAnsi" w:hAnsi="Arial" w:cs="Arial"/>
          <w:color w:val="002060"/>
        </w:rPr>
        <w:t xml:space="preserve">6.1.2 </w:t>
      </w:r>
      <w:r w:rsidR="007D0A09" w:rsidRPr="001B0A6C">
        <w:rPr>
          <w:rFonts w:ascii="Arial" w:eastAsiaTheme="minorHAnsi" w:hAnsi="Arial" w:cs="Arial"/>
          <w:color w:val="002060"/>
        </w:rPr>
        <w:t xml:space="preserve">Industry contribution to </w:t>
      </w:r>
      <w:r w:rsidR="00AA5585" w:rsidRPr="001B0A6C">
        <w:rPr>
          <w:rFonts w:ascii="Arial" w:eastAsiaTheme="minorHAnsi" w:hAnsi="Arial" w:cs="Arial"/>
          <w:color w:val="002060"/>
        </w:rPr>
        <w:t xml:space="preserve">direct </w:t>
      </w:r>
      <w:r w:rsidR="007D0A09" w:rsidRPr="001B0A6C">
        <w:rPr>
          <w:rFonts w:ascii="Arial" w:eastAsiaTheme="minorHAnsi" w:hAnsi="Arial" w:cs="Arial"/>
          <w:color w:val="002060"/>
        </w:rPr>
        <w:t xml:space="preserve">filled jobs in Victoria in </w:t>
      </w:r>
      <w:r w:rsidR="00087CA3" w:rsidRPr="001B0A6C">
        <w:rPr>
          <w:rFonts w:ascii="Arial" w:eastAsiaTheme="minorHAnsi" w:hAnsi="Arial" w:cs="Arial"/>
          <w:color w:val="002060"/>
        </w:rPr>
        <w:t>2023-24</w:t>
      </w:r>
      <w:r w:rsidR="00DE18CF" w:rsidRPr="001B0A6C">
        <w:rPr>
          <w:rFonts w:ascii="Arial" w:eastAsiaTheme="minorHAnsi" w:hAnsi="Arial" w:cs="Arial"/>
          <w:color w:val="002060"/>
        </w:rPr>
        <w:t xml:space="preserve"> </w:t>
      </w:r>
      <w:r w:rsidR="007D0A09" w:rsidRPr="001B0A6C">
        <w:rPr>
          <w:rFonts w:ascii="Arial" w:eastAsiaTheme="minorHAnsi" w:hAnsi="Arial" w:cs="Arial"/>
          <w:color w:val="002060"/>
        </w:rPr>
        <w:t>(% share of Victoria’s</w:t>
      </w:r>
      <w:r w:rsidR="00DD05A1" w:rsidRPr="001B0A6C">
        <w:rPr>
          <w:rFonts w:ascii="Arial" w:eastAsiaTheme="minorHAnsi" w:hAnsi="Arial" w:cs="Arial"/>
          <w:color w:val="002060"/>
        </w:rPr>
        <w:t xml:space="preserve"> jobs</w:t>
      </w:r>
      <w:r w:rsidR="007D0A09" w:rsidRPr="001B0A6C">
        <w:rPr>
          <w:rFonts w:ascii="Arial" w:eastAsiaTheme="minorHAnsi" w:hAnsi="Arial" w:cs="Arial"/>
          <w:color w:val="002060"/>
        </w:rPr>
        <w:t xml:space="preserve">) </w:t>
      </w:r>
      <w:r w:rsidR="00E60493" w:rsidRPr="001B0A6C">
        <w:rPr>
          <w:rFonts w:ascii="Arial" w:eastAsiaTheme="minorHAnsi" w:hAnsi="Arial" w:cs="Arial"/>
          <w:color w:val="002060"/>
        </w:rPr>
        <w:t xml:space="preserve">and change in share compared to </w:t>
      </w:r>
      <w:r w:rsidR="001111CF" w:rsidRPr="001B0A6C">
        <w:rPr>
          <w:rFonts w:ascii="Arial" w:eastAsiaTheme="minorHAnsi" w:hAnsi="Arial" w:cs="Arial"/>
          <w:color w:val="002060"/>
        </w:rPr>
        <w:t>2022-23</w:t>
      </w:r>
      <w:r w:rsidR="00E60493" w:rsidRPr="00B82E1F">
        <w:rPr>
          <w:rFonts w:ascii="Arial" w:eastAsiaTheme="minorHAnsi" w:hAnsi="Arial" w:cs="Arial"/>
          <w:color w:val="002060"/>
        </w:rPr>
        <w:t xml:space="preserve"> </w:t>
      </w:r>
    </w:p>
    <w:tbl>
      <w:tblPr>
        <w:tblStyle w:val="TableGrid"/>
        <w:tblpPr w:leftFromText="180" w:rightFromText="180" w:vertAnchor="text" w:horzAnchor="margin" w:tblpY="166"/>
        <w:tblW w:w="9498" w:type="dxa"/>
        <w:tblLook w:val="04A0" w:firstRow="1" w:lastRow="0" w:firstColumn="1" w:lastColumn="0" w:noHBand="0" w:noVBand="1"/>
      </w:tblPr>
      <w:tblGrid>
        <w:gridCol w:w="3256"/>
        <w:gridCol w:w="2409"/>
        <w:gridCol w:w="3833"/>
      </w:tblGrid>
      <w:tr w:rsidR="006F5A9A" w:rsidRPr="00B82E1F" w14:paraId="5BF59CFC" w14:textId="77777777" w:rsidTr="006F5A9A">
        <w:trPr>
          <w:trHeight w:val="428"/>
          <w:tblHeader/>
        </w:trPr>
        <w:tc>
          <w:tcPr>
            <w:tcW w:w="3256" w:type="dxa"/>
            <w:tcBorders>
              <w:bottom w:val="nil"/>
            </w:tcBorders>
            <w:shd w:val="clear" w:color="auto" w:fill="E7E6E6" w:themeFill="background2"/>
          </w:tcPr>
          <w:p w14:paraId="64D62D05" w14:textId="77777777" w:rsidR="006F5A9A" w:rsidRPr="006A00E6" w:rsidRDefault="006F5A9A" w:rsidP="006F5A9A">
            <w:pPr>
              <w:rPr>
                <w:rFonts w:ascii="Arial" w:hAnsi="Arial" w:cs="Arial"/>
                <w:b/>
                <w:bCs/>
              </w:rPr>
            </w:pPr>
            <w:bookmarkStart w:id="39" w:name="Title_9" w:colFirst="0" w:colLast="0"/>
            <w:r w:rsidRPr="006A00E6">
              <w:rPr>
                <w:rFonts w:ascii="Arial" w:hAnsi="Arial" w:cs="Arial"/>
                <w:b/>
                <w:bCs/>
              </w:rPr>
              <w:t xml:space="preserve">Industry </w:t>
            </w:r>
          </w:p>
        </w:tc>
        <w:tc>
          <w:tcPr>
            <w:tcW w:w="2409" w:type="dxa"/>
            <w:tcBorders>
              <w:bottom w:val="nil"/>
            </w:tcBorders>
            <w:shd w:val="clear" w:color="auto" w:fill="E7E6E6" w:themeFill="background2"/>
          </w:tcPr>
          <w:p w14:paraId="078A1786" w14:textId="2E809C49" w:rsidR="006F5A9A" w:rsidRPr="006A00E6" w:rsidRDefault="006F5A9A" w:rsidP="006F5A9A">
            <w:pPr>
              <w:rPr>
                <w:rFonts w:ascii="Arial" w:hAnsi="Arial" w:cs="Arial"/>
                <w:b/>
                <w:bCs/>
              </w:rPr>
            </w:pPr>
            <w:r w:rsidRPr="006A00E6">
              <w:rPr>
                <w:rFonts w:ascii="Arial" w:hAnsi="Arial" w:cs="Arial"/>
                <w:b/>
                <w:bCs/>
              </w:rPr>
              <w:t xml:space="preserve">% share of Victoria’s </w:t>
            </w:r>
            <w:r w:rsidR="002810B6" w:rsidRPr="006A00E6">
              <w:rPr>
                <w:rFonts w:ascii="Arial" w:hAnsi="Arial" w:cs="Arial"/>
                <w:b/>
                <w:bCs/>
              </w:rPr>
              <w:t xml:space="preserve">filled jobs </w:t>
            </w:r>
            <w:r w:rsidRPr="006A00E6">
              <w:rPr>
                <w:rFonts w:ascii="Arial" w:hAnsi="Arial" w:cs="Arial"/>
                <w:b/>
                <w:bCs/>
              </w:rPr>
              <w:t xml:space="preserve">in </w:t>
            </w:r>
            <w:r w:rsidR="00087CA3" w:rsidRPr="006A00E6">
              <w:rPr>
                <w:rFonts w:ascii="Arial" w:hAnsi="Arial" w:cs="Arial"/>
                <w:b/>
                <w:bCs/>
              </w:rPr>
              <w:t>2023-24</w:t>
            </w:r>
          </w:p>
        </w:tc>
        <w:tc>
          <w:tcPr>
            <w:tcW w:w="3833" w:type="dxa"/>
            <w:tcBorders>
              <w:bottom w:val="nil"/>
            </w:tcBorders>
            <w:shd w:val="clear" w:color="auto" w:fill="E7E6E6" w:themeFill="background2"/>
          </w:tcPr>
          <w:p w14:paraId="57B52913" w14:textId="466357D5" w:rsidR="006F5A9A" w:rsidRPr="006A00E6" w:rsidRDefault="006F5A9A" w:rsidP="006F5A9A">
            <w:pPr>
              <w:rPr>
                <w:rFonts w:ascii="Arial" w:hAnsi="Arial" w:cs="Arial"/>
                <w:b/>
                <w:bCs/>
              </w:rPr>
            </w:pPr>
            <w:r w:rsidRPr="006A00E6">
              <w:rPr>
                <w:rFonts w:ascii="Arial" w:hAnsi="Arial" w:cs="Arial"/>
                <w:b/>
                <w:bCs/>
              </w:rPr>
              <w:t xml:space="preserve">% point change compared to </w:t>
            </w:r>
            <w:r w:rsidR="001111CF" w:rsidRPr="006A00E6">
              <w:rPr>
                <w:rFonts w:ascii="Arial" w:hAnsi="Arial" w:cs="Arial"/>
                <w:b/>
                <w:bCs/>
              </w:rPr>
              <w:t>2022-23</w:t>
            </w:r>
          </w:p>
        </w:tc>
      </w:tr>
      <w:bookmarkEnd w:id="39"/>
      <w:tr w:rsidR="002B79AE" w:rsidRPr="00B82E1F" w14:paraId="139326B2" w14:textId="77777777" w:rsidTr="006F5A9A">
        <w:trPr>
          <w:trHeight w:val="635"/>
        </w:trPr>
        <w:tc>
          <w:tcPr>
            <w:tcW w:w="3256" w:type="dxa"/>
            <w:shd w:val="clear" w:color="auto" w:fill="E7E6E6" w:themeFill="background2"/>
          </w:tcPr>
          <w:p w14:paraId="768C8D1D" w14:textId="763A3B6B" w:rsidR="002B79AE" w:rsidRPr="006A00E6" w:rsidRDefault="002B79AE" w:rsidP="002B79AE">
            <w:pPr>
              <w:rPr>
                <w:rFonts w:ascii="Arial" w:hAnsi="Arial" w:cs="Arial"/>
              </w:rPr>
            </w:pPr>
            <w:r w:rsidRPr="006A00E6">
              <w:rPr>
                <w:rFonts w:ascii="Arial" w:hAnsi="Arial" w:cs="Arial"/>
              </w:rPr>
              <w:t xml:space="preserve">Health care </w:t>
            </w:r>
            <w:r w:rsidR="001B0A6C" w:rsidRPr="006A00E6">
              <w:rPr>
                <w:rFonts w:ascii="Arial" w:hAnsi="Arial" w:cs="Arial"/>
              </w:rPr>
              <w:t>and</w:t>
            </w:r>
            <w:r w:rsidRPr="006A00E6">
              <w:rPr>
                <w:rFonts w:ascii="Arial" w:hAnsi="Arial" w:cs="Arial"/>
              </w:rPr>
              <w:t xml:space="preserve"> social assistance</w:t>
            </w:r>
          </w:p>
        </w:tc>
        <w:tc>
          <w:tcPr>
            <w:tcW w:w="2409" w:type="dxa"/>
          </w:tcPr>
          <w:p w14:paraId="090E7EDC" w14:textId="6D49DFF9" w:rsidR="002B79AE" w:rsidRPr="006A00E6" w:rsidRDefault="002B79AE" w:rsidP="002B79AE">
            <w:pPr>
              <w:rPr>
                <w:rFonts w:ascii="Arial" w:hAnsi="Arial" w:cs="Arial"/>
              </w:rPr>
            </w:pPr>
            <w:r w:rsidRPr="006A00E6">
              <w:rPr>
                <w:rFonts w:ascii="Arial" w:hAnsi="Arial" w:cs="Arial"/>
              </w:rPr>
              <w:t>14.9</w:t>
            </w:r>
          </w:p>
        </w:tc>
        <w:tc>
          <w:tcPr>
            <w:tcW w:w="3833" w:type="dxa"/>
          </w:tcPr>
          <w:p w14:paraId="0C257200" w14:textId="7B73CF17" w:rsidR="002B79AE" w:rsidRPr="006A00E6" w:rsidRDefault="00D05B98" w:rsidP="002B79AE">
            <w:pPr>
              <w:rPr>
                <w:rFonts w:ascii="Arial" w:hAnsi="Arial" w:cs="Arial"/>
              </w:rPr>
            </w:pPr>
            <w:r w:rsidRPr="006A00E6">
              <w:rPr>
                <w:rFonts w:ascii="Arial" w:hAnsi="Arial" w:cs="Arial"/>
              </w:rPr>
              <w:t>Increased 0.8% points compared to 2022-23 financial year</w:t>
            </w:r>
          </w:p>
        </w:tc>
      </w:tr>
      <w:tr w:rsidR="002B79AE" w:rsidRPr="00B82E1F" w14:paraId="57D2EFAF" w14:textId="77777777" w:rsidTr="006F5A9A">
        <w:trPr>
          <w:trHeight w:val="633"/>
        </w:trPr>
        <w:tc>
          <w:tcPr>
            <w:tcW w:w="3256" w:type="dxa"/>
            <w:shd w:val="clear" w:color="auto" w:fill="E7E6E6" w:themeFill="background2"/>
          </w:tcPr>
          <w:p w14:paraId="0F403317" w14:textId="223BB0EA" w:rsidR="002B79AE" w:rsidRPr="006A00E6" w:rsidRDefault="002B79AE" w:rsidP="002B79AE">
            <w:pPr>
              <w:rPr>
                <w:rFonts w:ascii="Arial" w:hAnsi="Arial" w:cs="Arial"/>
              </w:rPr>
            </w:pPr>
            <w:r w:rsidRPr="006A00E6">
              <w:rPr>
                <w:rFonts w:ascii="Arial" w:hAnsi="Arial" w:cs="Arial"/>
              </w:rPr>
              <w:t>Professional, scientific and technical</w:t>
            </w:r>
          </w:p>
        </w:tc>
        <w:tc>
          <w:tcPr>
            <w:tcW w:w="2409" w:type="dxa"/>
          </w:tcPr>
          <w:p w14:paraId="2CF4A437" w14:textId="2BE803A0" w:rsidR="002B79AE" w:rsidRPr="006A00E6" w:rsidRDefault="002B79AE" w:rsidP="002B79AE">
            <w:pPr>
              <w:rPr>
                <w:rFonts w:ascii="Arial" w:hAnsi="Arial" w:cs="Arial"/>
              </w:rPr>
            </w:pPr>
            <w:r w:rsidRPr="006A00E6">
              <w:rPr>
                <w:rFonts w:ascii="Arial" w:hAnsi="Arial" w:cs="Arial"/>
              </w:rPr>
              <w:t>8.2</w:t>
            </w:r>
          </w:p>
        </w:tc>
        <w:tc>
          <w:tcPr>
            <w:tcW w:w="3833" w:type="dxa"/>
          </w:tcPr>
          <w:p w14:paraId="404CA7EC" w14:textId="7E3323AF" w:rsidR="002B79AE" w:rsidRPr="006A00E6" w:rsidRDefault="002A0CA5" w:rsidP="002B79AE">
            <w:pPr>
              <w:rPr>
                <w:rFonts w:ascii="Arial" w:hAnsi="Arial" w:cs="Arial"/>
              </w:rPr>
            </w:pPr>
            <w:r w:rsidRPr="006A00E6">
              <w:rPr>
                <w:rFonts w:ascii="Arial" w:hAnsi="Arial" w:cs="Arial"/>
              </w:rPr>
              <w:t>No change compared to 2022-23 financial year</w:t>
            </w:r>
          </w:p>
        </w:tc>
      </w:tr>
      <w:tr w:rsidR="002B79AE" w:rsidRPr="00B82E1F" w14:paraId="187BA749" w14:textId="77777777" w:rsidTr="006F5A9A">
        <w:trPr>
          <w:trHeight w:val="629"/>
        </w:trPr>
        <w:tc>
          <w:tcPr>
            <w:tcW w:w="3256" w:type="dxa"/>
            <w:shd w:val="clear" w:color="auto" w:fill="E7E6E6" w:themeFill="background2"/>
          </w:tcPr>
          <w:p w14:paraId="5241FC71" w14:textId="16708E4F" w:rsidR="002B79AE" w:rsidRPr="006A00E6" w:rsidRDefault="002B79AE" w:rsidP="002B79AE">
            <w:pPr>
              <w:rPr>
                <w:rFonts w:ascii="Arial" w:hAnsi="Arial" w:cs="Arial"/>
              </w:rPr>
            </w:pPr>
            <w:r w:rsidRPr="006A00E6">
              <w:rPr>
                <w:rFonts w:ascii="Arial" w:hAnsi="Arial" w:cs="Arial"/>
              </w:rPr>
              <w:t xml:space="preserve">Education </w:t>
            </w:r>
            <w:r w:rsidR="001B0A6C" w:rsidRPr="006A00E6">
              <w:rPr>
                <w:rFonts w:ascii="Arial" w:hAnsi="Arial" w:cs="Arial"/>
              </w:rPr>
              <w:t>and</w:t>
            </w:r>
            <w:r w:rsidRPr="006A00E6">
              <w:rPr>
                <w:rFonts w:ascii="Arial" w:hAnsi="Arial" w:cs="Arial"/>
              </w:rPr>
              <w:t xml:space="preserve"> training</w:t>
            </w:r>
          </w:p>
        </w:tc>
        <w:tc>
          <w:tcPr>
            <w:tcW w:w="2409" w:type="dxa"/>
          </w:tcPr>
          <w:p w14:paraId="487E5C28" w14:textId="6E1804FB" w:rsidR="002B79AE" w:rsidRPr="006A00E6" w:rsidRDefault="002B79AE" w:rsidP="002B79AE">
            <w:pPr>
              <w:rPr>
                <w:rFonts w:ascii="Arial" w:hAnsi="Arial" w:cs="Arial"/>
              </w:rPr>
            </w:pPr>
            <w:r w:rsidRPr="006A00E6">
              <w:rPr>
                <w:rFonts w:ascii="Arial" w:hAnsi="Arial" w:cs="Arial"/>
              </w:rPr>
              <w:t>7.9</w:t>
            </w:r>
          </w:p>
        </w:tc>
        <w:tc>
          <w:tcPr>
            <w:tcW w:w="3833" w:type="dxa"/>
          </w:tcPr>
          <w:p w14:paraId="32A253F5" w14:textId="14B15A4E" w:rsidR="002B79AE" w:rsidRPr="006A00E6" w:rsidRDefault="002A0CA5" w:rsidP="002B79AE">
            <w:pPr>
              <w:rPr>
                <w:rFonts w:ascii="Arial" w:hAnsi="Arial" w:cs="Arial"/>
              </w:rPr>
            </w:pPr>
            <w:r w:rsidRPr="006A00E6">
              <w:rPr>
                <w:rFonts w:ascii="Arial" w:hAnsi="Arial" w:cs="Arial"/>
              </w:rPr>
              <w:t>In</w:t>
            </w:r>
            <w:r w:rsidR="002B79AE" w:rsidRPr="006A00E6">
              <w:rPr>
                <w:rFonts w:ascii="Arial" w:hAnsi="Arial" w:cs="Arial"/>
              </w:rPr>
              <w:t>creased 0.</w:t>
            </w:r>
            <w:r w:rsidRPr="006A00E6">
              <w:rPr>
                <w:rFonts w:ascii="Arial" w:hAnsi="Arial" w:cs="Arial"/>
              </w:rPr>
              <w:t>4</w:t>
            </w:r>
            <w:r w:rsidR="002B79AE" w:rsidRPr="006A00E6">
              <w:rPr>
                <w:rFonts w:ascii="Arial" w:hAnsi="Arial" w:cs="Arial"/>
              </w:rPr>
              <w:t xml:space="preserve">% points compared to 2022-23 financial year </w:t>
            </w:r>
          </w:p>
        </w:tc>
      </w:tr>
      <w:tr w:rsidR="002B79AE" w:rsidRPr="00B82E1F" w14:paraId="40DD4206" w14:textId="77777777" w:rsidTr="006F5A9A">
        <w:trPr>
          <w:trHeight w:val="657"/>
        </w:trPr>
        <w:tc>
          <w:tcPr>
            <w:tcW w:w="3256" w:type="dxa"/>
            <w:shd w:val="clear" w:color="auto" w:fill="E7E6E6" w:themeFill="background2"/>
          </w:tcPr>
          <w:p w14:paraId="2F7005A7" w14:textId="0307EA3B" w:rsidR="002B79AE" w:rsidRPr="006A00E6" w:rsidRDefault="002B79AE" w:rsidP="002B79AE">
            <w:pPr>
              <w:rPr>
                <w:rFonts w:ascii="Arial" w:hAnsi="Arial" w:cs="Arial"/>
              </w:rPr>
            </w:pPr>
            <w:r w:rsidRPr="006A00E6">
              <w:rPr>
                <w:rFonts w:ascii="Arial" w:hAnsi="Arial" w:cs="Arial"/>
              </w:rPr>
              <w:t>Construction</w:t>
            </w:r>
          </w:p>
        </w:tc>
        <w:tc>
          <w:tcPr>
            <w:tcW w:w="2409" w:type="dxa"/>
          </w:tcPr>
          <w:p w14:paraId="77959A34" w14:textId="2368C515" w:rsidR="002B79AE" w:rsidRPr="006A00E6" w:rsidRDefault="002B79AE" w:rsidP="002B79AE">
            <w:pPr>
              <w:rPr>
                <w:rFonts w:ascii="Arial" w:hAnsi="Arial" w:cs="Arial"/>
              </w:rPr>
            </w:pPr>
            <w:r w:rsidRPr="006A00E6">
              <w:rPr>
                <w:rFonts w:ascii="Arial" w:hAnsi="Arial" w:cs="Arial"/>
              </w:rPr>
              <w:t>7.5</w:t>
            </w:r>
          </w:p>
        </w:tc>
        <w:tc>
          <w:tcPr>
            <w:tcW w:w="3833" w:type="dxa"/>
          </w:tcPr>
          <w:p w14:paraId="4149A21E" w14:textId="2E4715A7" w:rsidR="002B79AE" w:rsidRPr="006A00E6" w:rsidRDefault="002A0CA5" w:rsidP="002B79AE">
            <w:pPr>
              <w:rPr>
                <w:rFonts w:ascii="Arial" w:hAnsi="Arial" w:cs="Arial"/>
              </w:rPr>
            </w:pPr>
            <w:r w:rsidRPr="006A00E6">
              <w:rPr>
                <w:rFonts w:ascii="Arial" w:hAnsi="Arial" w:cs="Arial"/>
              </w:rPr>
              <w:t>De</w:t>
            </w:r>
            <w:r w:rsidR="002B79AE" w:rsidRPr="006A00E6">
              <w:rPr>
                <w:rFonts w:ascii="Arial" w:hAnsi="Arial" w:cs="Arial"/>
              </w:rPr>
              <w:t>creased 0.2% points compared to 2022-23 financial year</w:t>
            </w:r>
          </w:p>
        </w:tc>
      </w:tr>
      <w:tr w:rsidR="002B79AE" w:rsidRPr="00B82E1F" w14:paraId="19D2162F" w14:textId="77777777" w:rsidTr="006F5A9A">
        <w:trPr>
          <w:trHeight w:val="657"/>
        </w:trPr>
        <w:tc>
          <w:tcPr>
            <w:tcW w:w="3256" w:type="dxa"/>
            <w:shd w:val="clear" w:color="auto" w:fill="E7E6E6" w:themeFill="background2"/>
          </w:tcPr>
          <w:p w14:paraId="75DD4781" w14:textId="71BFCC1A" w:rsidR="002B79AE" w:rsidRPr="006A00E6" w:rsidRDefault="002B79AE" w:rsidP="002B79AE">
            <w:pPr>
              <w:rPr>
                <w:rFonts w:ascii="Arial" w:hAnsi="Arial" w:cs="Arial"/>
              </w:rPr>
            </w:pPr>
            <w:r w:rsidRPr="006A00E6">
              <w:rPr>
                <w:rFonts w:ascii="Arial" w:hAnsi="Arial" w:cs="Arial"/>
              </w:rPr>
              <w:t>Manufacturing</w:t>
            </w:r>
          </w:p>
        </w:tc>
        <w:tc>
          <w:tcPr>
            <w:tcW w:w="2409" w:type="dxa"/>
          </w:tcPr>
          <w:p w14:paraId="450D03D1" w14:textId="6DB92896" w:rsidR="002B79AE" w:rsidRPr="006A00E6" w:rsidRDefault="002B79AE" w:rsidP="002B79AE">
            <w:pPr>
              <w:rPr>
                <w:rFonts w:ascii="Arial" w:hAnsi="Arial" w:cs="Arial"/>
              </w:rPr>
            </w:pPr>
            <w:r w:rsidRPr="006A00E6">
              <w:rPr>
                <w:rFonts w:ascii="Arial" w:hAnsi="Arial" w:cs="Arial"/>
              </w:rPr>
              <w:t>6.5</w:t>
            </w:r>
          </w:p>
        </w:tc>
        <w:tc>
          <w:tcPr>
            <w:tcW w:w="3833" w:type="dxa"/>
          </w:tcPr>
          <w:p w14:paraId="1F584EC1" w14:textId="26851B4F" w:rsidR="002B79AE" w:rsidRPr="006A00E6" w:rsidRDefault="002B79AE" w:rsidP="002B79AE">
            <w:pPr>
              <w:rPr>
                <w:rFonts w:ascii="Arial" w:hAnsi="Arial" w:cs="Arial"/>
              </w:rPr>
            </w:pPr>
            <w:r w:rsidRPr="006A00E6">
              <w:rPr>
                <w:rFonts w:ascii="Arial" w:hAnsi="Arial" w:cs="Arial"/>
              </w:rPr>
              <w:t>Decreased 0.</w:t>
            </w:r>
            <w:r w:rsidR="002A0CA5" w:rsidRPr="006A00E6">
              <w:rPr>
                <w:rFonts w:ascii="Arial" w:hAnsi="Arial" w:cs="Arial"/>
              </w:rPr>
              <w:t>1</w:t>
            </w:r>
            <w:r w:rsidRPr="006A00E6">
              <w:rPr>
                <w:rFonts w:ascii="Arial" w:hAnsi="Arial" w:cs="Arial"/>
              </w:rPr>
              <w:t>% point compared to 2022-23 financial year</w:t>
            </w:r>
          </w:p>
        </w:tc>
      </w:tr>
      <w:tr w:rsidR="002B79AE" w:rsidRPr="00B82E1F" w14:paraId="335B801F" w14:textId="77777777" w:rsidTr="006F5A9A">
        <w:trPr>
          <w:trHeight w:val="657"/>
        </w:trPr>
        <w:tc>
          <w:tcPr>
            <w:tcW w:w="3256" w:type="dxa"/>
            <w:shd w:val="clear" w:color="auto" w:fill="E7E6E6" w:themeFill="background2"/>
          </w:tcPr>
          <w:p w14:paraId="4B18D57B" w14:textId="0F9C8D81" w:rsidR="002B79AE" w:rsidRPr="006A00E6" w:rsidRDefault="002B79AE" w:rsidP="002B79AE">
            <w:pPr>
              <w:rPr>
                <w:rFonts w:ascii="Arial" w:hAnsi="Arial" w:cs="Arial"/>
              </w:rPr>
            </w:pPr>
            <w:r w:rsidRPr="006A00E6">
              <w:rPr>
                <w:rFonts w:ascii="Arial" w:hAnsi="Arial" w:cs="Arial"/>
              </w:rPr>
              <w:t>Financial and insurance services</w:t>
            </w:r>
          </w:p>
        </w:tc>
        <w:tc>
          <w:tcPr>
            <w:tcW w:w="2409" w:type="dxa"/>
          </w:tcPr>
          <w:p w14:paraId="12C2AFAB" w14:textId="6BE9DA2A" w:rsidR="002B79AE" w:rsidRPr="006A00E6" w:rsidRDefault="002B79AE" w:rsidP="002B79AE">
            <w:pPr>
              <w:rPr>
                <w:rFonts w:ascii="Arial" w:hAnsi="Arial" w:cs="Arial"/>
              </w:rPr>
            </w:pPr>
            <w:r w:rsidRPr="006A00E6">
              <w:rPr>
                <w:rFonts w:ascii="Arial" w:hAnsi="Arial" w:cs="Arial"/>
              </w:rPr>
              <w:t>3.5</w:t>
            </w:r>
          </w:p>
        </w:tc>
        <w:tc>
          <w:tcPr>
            <w:tcW w:w="3833" w:type="dxa"/>
          </w:tcPr>
          <w:p w14:paraId="51DA00BF" w14:textId="2DBC567A" w:rsidR="002B79AE" w:rsidRPr="006A00E6" w:rsidRDefault="002B79AE" w:rsidP="002B79AE">
            <w:pPr>
              <w:rPr>
                <w:rFonts w:ascii="Arial" w:hAnsi="Arial" w:cs="Arial"/>
              </w:rPr>
            </w:pPr>
            <w:r w:rsidRPr="006A00E6">
              <w:rPr>
                <w:rFonts w:ascii="Arial" w:hAnsi="Arial" w:cs="Arial"/>
              </w:rPr>
              <w:t>Decreased 0.1% point compared to 2022-23 financial year</w:t>
            </w:r>
          </w:p>
        </w:tc>
      </w:tr>
      <w:tr w:rsidR="002B79AE" w:rsidRPr="00B82E1F" w14:paraId="4AA07C5A" w14:textId="77777777" w:rsidTr="006F5A9A">
        <w:trPr>
          <w:trHeight w:val="657"/>
        </w:trPr>
        <w:tc>
          <w:tcPr>
            <w:tcW w:w="3256" w:type="dxa"/>
            <w:shd w:val="clear" w:color="auto" w:fill="E7E6E6" w:themeFill="background2"/>
          </w:tcPr>
          <w:p w14:paraId="033AB3F4" w14:textId="3F41202B" w:rsidR="002B79AE" w:rsidRPr="006A00E6" w:rsidRDefault="002B79AE" w:rsidP="002B79AE">
            <w:pPr>
              <w:rPr>
                <w:rFonts w:ascii="Arial" w:hAnsi="Arial" w:cs="Arial"/>
              </w:rPr>
            </w:pPr>
            <w:r w:rsidRPr="006A00E6">
              <w:rPr>
                <w:rFonts w:ascii="Arial" w:hAnsi="Arial" w:cs="Arial"/>
              </w:rPr>
              <w:t>Agriculture, forestry and fishing</w:t>
            </w:r>
          </w:p>
        </w:tc>
        <w:tc>
          <w:tcPr>
            <w:tcW w:w="2409" w:type="dxa"/>
          </w:tcPr>
          <w:p w14:paraId="7E164DF6" w14:textId="5360FA2B" w:rsidR="002B79AE" w:rsidRPr="006A00E6" w:rsidRDefault="002B79AE" w:rsidP="002B79AE">
            <w:pPr>
              <w:rPr>
                <w:rFonts w:ascii="Arial" w:hAnsi="Arial" w:cs="Arial"/>
              </w:rPr>
            </w:pPr>
            <w:r w:rsidRPr="006A00E6">
              <w:rPr>
                <w:rFonts w:ascii="Arial" w:hAnsi="Arial" w:cs="Arial"/>
              </w:rPr>
              <w:t>2.6</w:t>
            </w:r>
          </w:p>
        </w:tc>
        <w:tc>
          <w:tcPr>
            <w:tcW w:w="3833" w:type="dxa"/>
          </w:tcPr>
          <w:p w14:paraId="38B9CAA9" w14:textId="3EECF416" w:rsidR="002B79AE" w:rsidRPr="006A00E6" w:rsidRDefault="000E4962" w:rsidP="002B79AE">
            <w:pPr>
              <w:rPr>
                <w:rFonts w:ascii="Arial" w:hAnsi="Arial" w:cs="Arial"/>
              </w:rPr>
            </w:pPr>
            <w:r w:rsidRPr="006A00E6">
              <w:rPr>
                <w:rFonts w:ascii="Arial" w:hAnsi="Arial" w:cs="Arial"/>
              </w:rPr>
              <w:t>In</w:t>
            </w:r>
            <w:r w:rsidR="002B79AE" w:rsidRPr="006A00E6">
              <w:rPr>
                <w:rFonts w:ascii="Arial" w:hAnsi="Arial" w:cs="Arial"/>
              </w:rPr>
              <w:t>creased 0.</w:t>
            </w:r>
            <w:r w:rsidRPr="006A00E6">
              <w:rPr>
                <w:rFonts w:ascii="Arial" w:hAnsi="Arial" w:cs="Arial"/>
              </w:rPr>
              <w:t>1</w:t>
            </w:r>
            <w:r w:rsidR="002B79AE" w:rsidRPr="006A00E6">
              <w:rPr>
                <w:rFonts w:ascii="Arial" w:hAnsi="Arial" w:cs="Arial"/>
              </w:rPr>
              <w:t>% point compared to 2022-23 financial year</w:t>
            </w:r>
          </w:p>
        </w:tc>
      </w:tr>
      <w:tr w:rsidR="002B79AE" w:rsidRPr="00B82E1F" w14:paraId="463661B2" w14:textId="77777777" w:rsidTr="006F5A9A">
        <w:trPr>
          <w:trHeight w:val="657"/>
        </w:trPr>
        <w:tc>
          <w:tcPr>
            <w:tcW w:w="3256" w:type="dxa"/>
            <w:shd w:val="clear" w:color="auto" w:fill="E7E6E6" w:themeFill="background2"/>
          </w:tcPr>
          <w:p w14:paraId="09CF6310" w14:textId="6A615DEE" w:rsidR="002B79AE" w:rsidRPr="006A00E6" w:rsidRDefault="002B79AE" w:rsidP="002B79AE">
            <w:pPr>
              <w:rPr>
                <w:rFonts w:ascii="Arial" w:hAnsi="Arial" w:cs="Arial"/>
              </w:rPr>
            </w:pPr>
            <w:r w:rsidRPr="006A00E6">
              <w:rPr>
                <w:rFonts w:ascii="Arial" w:hAnsi="Arial" w:cs="Arial"/>
              </w:rPr>
              <w:lastRenderedPageBreak/>
              <w:t>Mining</w:t>
            </w:r>
          </w:p>
        </w:tc>
        <w:tc>
          <w:tcPr>
            <w:tcW w:w="2409" w:type="dxa"/>
          </w:tcPr>
          <w:p w14:paraId="74181289" w14:textId="63832ED7" w:rsidR="002B79AE" w:rsidRPr="006A00E6" w:rsidRDefault="002B79AE" w:rsidP="002B79AE">
            <w:pPr>
              <w:rPr>
                <w:rFonts w:ascii="Arial" w:hAnsi="Arial" w:cs="Arial"/>
              </w:rPr>
            </w:pPr>
            <w:r w:rsidRPr="006A00E6">
              <w:rPr>
                <w:rFonts w:ascii="Arial" w:hAnsi="Arial" w:cs="Arial"/>
              </w:rPr>
              <w:t>0.3</w:t>
            </w:r>
          </w:p>
        </w:tc>
        <w:tc>
          <w:tcPr>
            <w:tcW w:w="3833" w:type="dxa"/>
          </w:tcPr>
          <w:p w14:paraId="5A8BF4AC" w14:textId="1EAA4587" w:rsidR="002B79AE" w:rsidRPr="006A00E6" w:rsidRDefault="002B79AE" w:rsidP="002B79AE">
            <w:pPr>
              <w:rPr>
                <w:rFonts w:ascii="Arial" w:hAnsi="Arial" w:cs="Arial"/>
              </w:rPr>
            </w:pPr>
            <w:r w:rsidRPr="006A00E6">
              <w:rPr>
                <w:rFonts w:ascii="Arial" w:hAnsi="Arial" w:cs="Arial"/>
              </w:rPr>
              <w:t xml:space="preserve">No change compared to 2022-23 financial year </w:t>
            </w:r>
          </w:p>
        </w:tc>
      </w:tr>
      <w:tr w:rsidR="002B79AE" w:rsidRPr="00B82E1F" w14:paraId="6A49441B" w14:textId="77777777" w:rsidTr="006F5A9A">
        <w:trPr>
          <w:trHeight w:val="657"/>
        </w:trPr>
        <w:tc>
          <w:tcPr>
            <w:tcW w:w="3256" w:type="dxa"/>
            <w:shd w:val="clear" w:color="auto" w:fill="E7E6E6" w:themeFill="background2"/>
          </w:tcPr>
          <w:p w14:paraId="2F4EC321" w14:textId="7BC16540" w:rsidR="002B79AE" w:rsidRPr="006A00E6" w:rsidRDefault="002B79AE" w:rsidP="002B79AE">
            <w:pPr>
              <w:rPr>
                <w:rFonts w:ascii="Arial" w:hAnsi="Arial" w:cs="Arial"/>
                <w:b/>
                <w:bCs/>
              </w:rPr>
            </w:pPr>
            <w:r w:rsidRPr="006A00E6">
              <w:rPr>
                <w:rFonts w:ascii="Arial" w:hAnsi="Arial" w:cs="Arial"/>
              </w:rPr>
              <w:t xml:space="preserve">Tourism – Direct </w:t>
            </w:r>
          </w:p>
        </w:tc>
        <w:tc>
          <w:tcPr>
            <w:tcW w:w="2409" w:type="dxa"/>
          </w:tcPr>
          <w:p w14:paraId="7BA09E2E" w14:textId="7A4D2697" w:rsidR="002B79AE" w:rsidRPr="006A00E6" w:rsidRDefault="002B79AE" w:rsidP="002B79AE">
            <w:pPr>
              <w:rPr>
                <w:rFonts w:ascii="Arial" w:hAnsi="Arial" w:cs="Arial"/>
                <w:b/>
                <w:bCs/>
              </w:rPr>
            </w:pPr>
            <w:r w:rsidRPr="006A00E6">
              <w:rPr>
                <w:rFonts w:ascii="Arial" w:hAnsi="Arial" w:cs="Arial"/>
              </w:rPr>
              <w:t>4.5</w:t>
            </w:r>
          </w:p>
        </w:tc>
        <w:tc>
          <w:tcPr>
            <w:tcW w:w="3833" w:type="dxa"/>
          </w:tcPr>
          <w:p w14:paraId="5BE138B4" w14:textId="37703C4E" w:rsidR="002B79AE" w:rsidRPr="006A00E6" w:rsidRDefault="002B79AE" w:rsidP="002B79AE">
            <w:pPr>
              <w:rPr>
                <w:rFonts w:ascii="Arial" w:hAnsi="Arial" w:cs="Arial"/>
                <w:b/>
                <w:bCs/>
              </w:rPr>
            </w:pPr>
            <w:r w:rsidRPr="006A00E6">
              <w:rPr>
                <w:rFonts w:ascii="Arial" w:hAnsi="Arial" w:cs="Arial"/>
                <w:b/>
                <w:bCs/>
              </w:rPr>
              <w:t xml:space="preserve">Increased </w:t>
            </w:r>
            <w:r w:rsidR="000E4962" w:rsidRPr="006A00E6">
              <w:rPr>
                <w:rFonts w:ascii="Arial" w:hAnsi="Arial" w:cs="Arial"/>
                <w:b/>
                <w:bCs/>
              </w:rPr>
              <w:t>0</w:t>
            </w:r>
            <w:r w:rsidRPr="006A00E6">
              <w:rPr>
                <w:rFonts w:ascii="Arial" w:hAnsi="Arial" w:cs="Arial"/>
                <w:b/>
                <w:bCs/>
              </w:rPr>
              <w:t xml:space="preserve">.2% points compared to 2022-23 financial year </w:t>
            </w:r>
          </w:p>
        </w:tc>
      </w:tr>
    </w:tbl>
    <w:p w14:paraId="40911390" w14:textId="77777777" w:rsidR="007D0A09" w:rsidRPr="00B82E1F" w:rsidRDefault="007D0A09" w:rsidP="007D0A09">
      <w:pPr>
        <w:rPr>
          <w:rFonts w:ascii="Arial" w:hAnsi="Arial" w:cs="Arial"/>
        </w:rPr>
      </w:pPr>
    </w:p>
    <w:p w14:paraId="47A4DB4B" w14:textId="06E29771" w:rsidR="00A762B9" w:rsidRPr="00B82E1F" w:rsidRDefault="0010326B" w:rsidP="00782688">
      <w:pPr>
        <w:pStyle w:val="Heading1"/>
        <w:rPr>
          <w:rFonts w:cs="Arial"/>
        </w:rPr>
      </w:pPr>
      <w:bookmarkStart w:id="40" w:name="_Toc194938467"/>
      <w:r w:rsidRPr="00B82E1F">
        <w:rPr>
          <w:rFonts w:cs="Arial"/>
        </w:rPr>
        <w:t xml:space="preserve">7. </w:t>
      </w:r>
      <w:r w:rsidR="00A762B9" w:rsidRPr="00B82E1F">
        <w:rPr>
          <w:rFonts w:cs="Arial"/>
        </w:rPr>
        <w:t>Tourism consumption</w:t>
      </w:r>
      <w:bookmarkEnd w:id="40"/>
    </w:p>
    <w:p w14:paraId="69864DB4" w14:textId="77777777" w:rsidR="009C51C6" w:rsidRPr="00B82E1F" w:rsidRDefault="009C51C6" w:rsidP="009C51C6">
      <w:pPr>
        <w:rPr>
          <w:sz w:val="8"/>
          <w:szCs w:val="8"/>
        </w:rPr>
      </w:pPr>
    </w:p>
    <w:p w14:paraId="6FB0730B" w14:textId="77777777" w:rsidR="002815C2" w:rsidRPr="006A00E6" w:rsidRDefault="002815C2" w:rsidP="002815C2">
      <w:pPr>
        <w:pStyle w:val="ListParagraph"/>
        <w:numPr>
          <w:ilvl w:val="0"/>
          <w:numId w:val="8"/>
        </w:numPr>
        <w:rPr>
          <w:rFonts w:ascii="Arial" w:hAnsi="Arial" w:cs="Arial"/>
          <w:sz w:val="23"/>
          <w:szCs w:val="23"/>
        </w:rPr>
      </w:pPr>
      <w:r w:rsidRPr="006A00E6">
        <w:rPr>
          <w:rFonts w:ascii="Arial" w:hAnsi="Arial" w:cs="Arial"/>
          <w:sz w:val="23"/>
          <w:szCs w:val="23"/>
        </w:rPr>
        <w:t xml:space="preserve">Total tourism consumption in Victoria increased by 11% from 2022-23 to $45.4 billion. This was larger than the rate of increase in consumption nationally (+8%) and in Queensland (+4% to $47.0 billion) and was on par with the rate of growth noted in New South Wales (+11% to $60.2 billion). </w:t>
      </w:r>
    </w:p>
    <w:p w14:paraId="5F3A7297" w14:textId="77777777" w:rsidR="002815C2" w:rsidRPr="006A00E6" w:rsidRDefault="002815C2" w:rsidP="002815C2">
      <w:pPr>
        <w:pStyle w:val="ListParagraph"/>
        <w:numPr>
          <w:ilvl w:val="0"/>
          <w:numId w:val="8"/>
        </w:numPr>
        <w:rPr>
          <w:rFonts w:ascii="Arial" w:hAnsi="Arial" w:cs="Arial"/>
          <w:sz w:val="23"/>
          <w:szCs w:val="23"/>
        </w:rPr>
      </w:pPr>
      <w:r w:rsidRPr="006A00E6">
        <w:rPr>
          <w:rFonts w:ascii="Arial" w:hAnsi="Arial" w:cs="Arial"/>
          <w:sz w:val="23"/>
          <w:szCs w:val="23"/>
        </w:rPr>
        <w:t>Consumption levels in Victoria were 22% above the 2018-19 estimate reflecting strong pent-up demand for travel.</w:t>
      </w:r>
    </w:p>
    <w:p w14:paraId="604B05F6" w14:textId="77777777" w:rsidR="002815C2" w:rsidRPr="006A00E6" w:rsidRDefault="002815C2" w:rsidP="002815C2">
      <w:pPr>
        <w:pStyle w:val="ListParagraph"/>
        <w:numPr>
          <w:ilvl w:val="0"/>
          <w:numId w:val="8"/>
        </w:numPr>
        <w:rPr>
          <w:rFonts w:ascii="Arial" w:hAnsi="Arial" w:cs="Arial"/>
          <w:sz w:val="23"/>
          <w:szCs w:val="23"/>
        </w:rPr>
      </w:pPr>
      <w:r w:rsidRPr="006A00E6">
        <w:rPr>
          <w:rFonts w:ascii="Arial" w:hAnsi="Arial" w:cs="Arial"/>
          <w:sz w:val="23"/>
          <w:szCs w:val="23"/>
        </w:rPr>
        <w:t>Over three-quarters (77%) of Australia’s total tourism consumption was concentrated in New South Wales, Queensland and Victoria in 2023-24.</w:t>
      </w:r>
    </w:p>
    <w:p w14:paraId="393098EA" w14:textId="77777777" w:rsidR="002815C2" w:rsidRPr="006A00E6" w:rsidRDefault="002815C2" w:rsidP="002815C2">
      <w:pPr>
        <w:pStyle w:val="ListParagraph"/>
        <w:numPr>
          <w:ilvl w:val="0"/>
          <w:numId w:val="8"/>
        </w:numPr>
        <w:rPr>
          <w:rFonts w:ascii="Arial" w:hAnsi="Arial" w:cs="Arial"/>
          <w:sz w:val="23"/>
          <w:szCs w:val="23"/>
        </w:rPr>
      </w:pPr>
      <w:r w:rsidRPr="006A00E6">
        <w:rPr>
          <w:rFonts w:ascii="Arial" w:hAnsi="Arial" w:cs="Arial"/>
          <w:sz w:val="23"/>
          <w:szCs w:val="23"/>
        </w:rPr>
        <w:t xml:space="preserve">Tourism demand in Victoria in 2023-24 was driven by the domestic market with consumption concentrated in the intrastate (34.2%), interstate (24.2%) and daytrip (20.4%) segments, with international at 21.2%. Consumption in all domestic travel categories exceeded 2018-19 levels, while international was below (-6%), reflecting the slower return of international travellers due to global market challenges. </w:t>
      </w:r>
    </w:p>
    <w:p w14:paraId="084737A0" w14:textId="77777777" w:rsidR="002815C2" w:rsidRPr="006A00E6" w:rsidRDefault="002815C2" w:rsidP="002815C2">
      <w:pPr>
        <w:pStyle w:val="ListParagraph"/>
        <w:numPr>
          <w:ilvl w:val="0"/>
          <w:numId w:val="8"/>
        </w:numPr>
        <w:rPr>
          <w:rFonts w:cs="Arial"/>
        </w:rPr>
      </w:pPr>
      <w:r w:rsidRPr="006A00E6">
        <w:rPr>
          <w:rFonts w:ascii="Arial" w:hAnsi="Arial" w:cs="Arial"/>
          <w:sz w:val="23"/>
          <w:szCs w:val="23"/>
        </w:rPr>
        <w:t>Notably, the interstate overnight (-5%) and daytrip (-3%) markets noted declines from 2022-23, with these categories of travel noting softer demand after a post pandemic peak, with cost-of-living pressures also weighing on consumer spending</w:t>
      </w:r>
      <w:r w:rsidRPr="006A00E6">
        <w:rPr>
          <w:rFonts w:cs="Arial"/>
          <w:sz w:val="23"/>
          <w:szCs w:val="23"/>
        </w:rPr>
        <w:t xml:space="preserve">. </w:t>
      </w:r>
    </w:p>
    <w:p w14:paraId="20883D0B" w14:textId="2F2DBA96" w:rsidR="00FB4D13" w:rsidRPr="006A00E6" w:rsidRDefault="0010326B" w:rsidP="002815C2">
      <w:pPr>
        <w:pStyle w:val="Heading1"/>
        <w:rPr>
          <w:rFonts w:cs="Arial"/>
        </w:rPr>
      </w:pPr>
      <w:bookmarkStart w:id="41" w:name="_Toc194938468"/>
      <w:r w:rsidRPr="006A00E6">
        <w:rPr>
          <w:rFonts w:cs="Arial"/>
        </w:rPr>
        <w:t xml:space="preserve">8. </w:t>
      </w:r>
      <w:r w:rsidR="0026546D" w:rsidRPr="006A00E6">
        <w:rPr>
          <w:rFonts w:cs="Arial"/>
        </w:rPr>
        <w:t xml:space="preserve">State </w:t>
      </w:r>
      <w:r w:rsidR="0050623E" w:rsidRPr="006A00E6">
        <w:rPr>
          <w:rFonts w:cs="Arial"/>
        </w:rPr>
        <w:t>and t</w:t>
      </w:r>
      <w:r w:rsidR="0026546D" w:rsidRPr="006A00E6">
        <w:rPr>
          <w:rFonts w:cs="Arial"/>
        </w:rPr>
        <w:t xml:space="preserve">erritory </w:t>
      </w:r>
      <w:r w:rsidR="0050623E" w:rsidRPr="006A00E6">
        <w:rPr>
          <w:rFonts w:cs="Arial"/>
        </w:rPr>
        <w:t>c</w:t>
      </w:r>
      <w:r w:rsidR="0026546D" w:rsidRPr="006A00E6">
        <w:rPr>
          <w:rFonts w:cs="Arial"/>
        </w:rPr>
        <w:t>omparisons</w:t>
      </w:r>
      <w:bookmarkEnd w:id="41"/>
      <w:r w:rsidR="0050623E" w:rsidRPr="006A00E6">
        <w:rPr>
          <w:rFonts w:cs="Arial"/>
        </w:rPr>
        <w:t xml:space="preserve"> </w:t>
      </w:r>
    </w:p>
    <w:p w14:paraId="054747B4" w14:textId="52C5F9F4" w:rsidR="00E13F2C" w:rsidRPr="006A00E6" w:rsidRDefault="0010326B" w:rsidP="00782688">
      <w:pPr>
        <w:pStyle w:val="Heading2"/>
        <w:rPr>
          <w:rFonts w:ascii="Arial" w:hAnsi="Arial" w:cs="Arial"/>
          <w:color w:val="002060"/>
        </w:rPr>
      </w:pPr>
      <w:bookmarkStart w:id="42" w:name="_Toc194938469"/>
      <w:r w:rsidRPr="006A00E6">
        <w:rPr>
          <w:rFonts w:ascii="Arial" w:hAnsi="Arial" w:cs="Arial"/>
          <w:color w:val="002060"/>
        </w:rPr>
        <w:t xml:space="preserve">8.1 </w:t>
      </w:r>
      <w:r w:rsidR="00E13F2C" w:rsidRPr="006A00E6">
        <w:rPr>
          <w:rFonts w:ascii="Arial" w:hAnsi="Arial" w:cs="Arial"/>
          <w:color w:val="002060"/>
        </w:rPr>
        <w:t>Gross State Product</w:t>
      </w:r>
      <w:bookmarkEnd w:id="42"/>
      <w:r w:rsidR="00E13F2C" w:rsidRPr="006A00E6">
        <w:rPr>
          <w:rFonts w:ascii="Arial" w:hAnsi="Arial" w:cs="Arial"/>
          <w:color w:val="002060"/>
        </w:rPr>
        <w:t xml:space="preserve"> </w:t>
      </w:r>
    </w:p>
    <w:p w14:paraId="301C0945" w14:textId="77777777" w:rsidR="00391425" w:rsidRPr="006A00E6" w:rsidRDefault="00391425" w:rsidP="00391425">
      <w:pPr>
        <w:rPr>
          <w:sz w:val="4"/>
          <w:szCs w:val="4"/>
        </w:rPr>
      </w:pPr>
    </w:p>
    <w:p w14:paraId="04394A5B" w14:textId="5CD69458" w:rsidR="00CF66DA" w:rsidRPr="006A00E6" w:rsidRDefault="00CF66DA" w:rsidP="007D68C4">
      <w:pPr>
        <w:pStyle w:val="ListParagraph"/>
        <w:numPr>
          <w:ilvl w:val="0"/>
          <w:numId w:val="8"/>
        </w:numPr>
        <w:rPr>
          <w:rFonts w:ascii="Arial" w:hAnsi="Arial" w:cs="Arial"/>
          <w:sz w:val="23"/>
          <w:szCs w:val="23"/>
        </w:rPr>
      </w:pPr>
      <w:r w:rsidRPr="006A00E6">
        <w:rPr>
          <w:rFonts w:ascii="Arial" w:hAnsi="Arial" w:cs="Arial"/>
          <w:sz w:val="23"/>
          <w:szCs w:val="23"/>
        </w:rPr>
        <w:t xml:space="preserve">Victoria’s tourism sector noted strong growth in GSP and jobs in 2023-24 compared to 2022-23, above the national average.  </w:t>
      </w:r>
    </w:p>
    <w:p w14:paraId="5B2AA821" w14:textId="77777777" w:rsidR="00CF66DA" w:rsidRPr="006A00E6" w:rsidRDefault="00CF66DA" w:rsidP="00CF66DA">
      <w:pPr>
        <w:pStyle w:val="ListParagraph"/>
        <w:numPr>
          <w:ilvl w:val="0"/>
          <w:numId w:val="8"/>
        </w:numPr>
        <w:rPr>
          <w:rFonts w:ascii="Arial" w:hAnsi="Arial" w:cs="Arial"/>
          <w:sz w:val="23"/>
          <w:szCs w:val="23"/>
        </w:rPr>
      </w:pPr>
      <w:r w:rsidRPr="006A00E6">
        <w:rPr>
          <w:rFonts w:ascii="Arial" w:hAnsi="Arial" w:cs="Arial"/>
          <w:sz w:val="23"/>
          <w:szCs w:val="23"/>
        </w:rPr>
        <w:t>Tourism generated $158 billion in Gross Domestic Product (GDP) for Australia in 2023-24, up 10% year-on-year. This was 27% above the 2018-19 estimate.</w:t>
      </w:r>
    </w:p>
    <w:p w14:paraId="0E80DFF8" w14:textId="77777777" w:rsidR="00CF66DA" w:rsidRPr="006A00E6" w:rsidRDefault="00CF66DA" w:rsidP="00CF66DA">
      <w:pPr>
        <w:pStyle w:val="ListParagraph"/>
        <w:numPr>
          <w:ilvl w:val="0"/>
          <w:numId w:val="8"/>
        </w:numPr>
        <w:rPr>
          <w:rFonts w:ascii="Arial" w:hAnsi="Arial" w:cs="Arial"/>
          <w:sz w:val="23"/>
          <w:szCs w:val="23"/>
        </w:rPr>
      </w:pPr>
      <w:r w:rsidRPr="006A00E6">
        <w:rPr>
          <w:rFonts w:ascii="Arial" w:hAnsi="Arial" w:cs="Arial"/>
          <w:sz w:val="23"/>
          <w:szCs w:val="23"/>
        </w:rPr>
        <w:t xml:space="preserve">The jurisdictions that contributed the most to tourism GDP in Australia in 2023-24 were New South Wales at $48.2 billion. This was followed by Queensland at $37.6 billion and Victoria at $36 billion. </w:t>
      </w:r>
    </w:p>
    <w:p w14:paraId="011CE8BE" w14:textId="77777777" w:rsidR="00CF66DA" w:rsidRPr="006A00E6" w:rsidRDefault="00CF66DA" w:rsidP="00CF66DA">
      <w:pPr>
        <w:pStyle w:val="ListParagraph"/>
        <w:numPr>
          <w:ilvl w:val="0"/>
          <w:numId w:val="8"/>
        </w:numPr>
        <w:rPr>
          <w:rFonts w:ascii="Arial" w:hAnsi="Arial" w:cs="Arial"/>
          <w:sz w:val="23"/>
          <w:szCs w:val="23"/>
        </w:rPr>
      </w:pPr>
      <w:r w:rsidRPr="006A00E6">
        <w:rPr>
          <w:rFonts w:ascii="Arial" w:hAnsi="Arial" w:cs="Arial"/>
          <w:sz w:val="23"/>
          <w:szCs w:val="23"/>
        </w:rPr>
        <w:t>Victoria recorded high GSP growth of 13% compared to 2022-23 reflecting strong tourism demand. Victoria’s GSP growth was above the national rate (+10%) and Queensland (+6%) and was on par with New South Wales (+13%).</w:t>
      </w:r>
    </w:p>
    <w:p w14:paraId="4775333D" w14:textId="7546B9F3" w:rsidR="00805AE9" w:rsidRPr="00B82E1F" w:rsidRDefault="0010326B" w:rsidP="00CF66DA">
      <w:pPr>
        <w:pStyle w:val="Heading2"/>
        <w:spacing w:before="240" w:after="120"/>
        <w:rPr>
          <w:rFonts w:ascii="Arial" w:hAnsi="Arial" w:cs="Arial"/>
          <w:color w:val="002060"/>
        </w:rPr>
      </w:pPr>
      <w:bookmarkStart w:id="43" w:name="_Toc194938470"/>
      <w:r w:rsidRPr="00B82E1F">
        <w:rPr>
          <w:rFonts w:ascii="Arial" w:hAnsi="Arial" w:cs="Arial"/>
          <w:color w:val="002060"/>
        </w:rPr>
        <w:lastRenderedPageBreak/>
        <w:t xml:space="preserve">8.2 </w:t>
      </w:r>
      <w:r w:rsidR="00827E20" w:rsidRPr="00B82E1F">
        <w:rPr>
          <w:rFonts w:ascii="Arial" w:hAnsi="Arial" w:cs="Arial"/>
          <w:color w:val="002060"/>
        </w:rPr>
        <w:t>Data table</w:t>
      </w:r>
      <w:bookmarkEnd w:id="43"/>
    </w:p>
    <w:p w14:paraId="62F9BC49" w14:textId="6D2B2804" w:rsidR="00E13F2C" w:rsidRPr="006A00E6" w:rsidRDefault="0010326B" w:rsidP="00313271">
      <w:pPr>
        <w:pStyle w:val="Heading3"/>
        <w:spacing w:before="240" w:after="120"/>
        <w:rPr>
          <w:rFonts w:ascii="Arial" w:hAnsi="Arial" w:cs="Arial"/>
          <w:color w:val="002060"/>
        </w:rPr>
      </w:pPr>
      <w:r w:rsidRPr="00B82E1F">
        <w:rPr>
          <w:rFonts w:ascii="Arial" w:hAnsi="Arial" w:cs="Arial"/>
          <w:color w:val="002060"/>
        </w:rPr>
        <w:t xml:space="preserve">8.2.1 </w:t>
      </w:r>
      <w:r w:rsidR="00E13F2C" w:rsidRPr="006A00E6">
        <w:rPr>
          <w:rFonts w:ascii="Arial" w:hAnsi="Arial" w:cs="Arial"/>
          <w:color w:val="002060"/>
        </w:rPr>
        <w:t xml:space="preserve">State </w:t>
      </w:r>
      <w:r w:rsidR="00482C5B" w:rsidRPr="006A00E6">
        <w:rPr>
          <w:rFonts w:ascii="Arial" w:hAnsi="Arial" w:cs="Arial"/>
          <w:color w:val="002060"/>
        </w:rPr>
        <w:t>comparisons</w:t>
      </w:r>
      <w:r w:rsidR="00E13F2C" w:rsidRPr="006A00E6">
        <w:rPr>
          <w:rFonts w:ascii="Arial" w:hAnsi="Arial" w:cs="Arial"/>
          <w:color w:val="002060"/>
        </w:rPr>
        <w:t xml:space="preserve"> of tourism’s </w:t>
      </w:r>
      <w:r w:rsidR="006B560E" w:rsidRPr="006A00E6">
        <w:rPr>
          <w:rFonts w:ascii="Arial" w:hAnsi="Arial" w:cs="Arial"/>
          <w:color w:val="002060"/>
        </w:rPr>
        <w:t>contribution to</w:t>
      </w:r>
      <w:r w:rsidR="00E13F2C" w:rsidRPr="006A00E6">
        <w:rPr>
          <w:rFonts w:ascii="Arial" w:hAnsi="Arial" w:cs="Arial"/>
          <w:color w:val="002060"/>
        </w:rPr>
        <w:t xml:space="preserve"> GSP in </w:t>
      </w:r>
      <w:r w:rsidR="00087CA3" w:rsidRPr="006A00E6">
        <w:rPr>
          <w:rFonts w:ascii="Arial" w:hAnsi="Arial" w:cs="Arial"/>
          <w:color w:val="002060"/>
        </w:rPr>
        <w:t>2023-24</w:t>
      </w:r>
      <w:r w:rsidR="002F3E3E" w:rsidRPr="006A00E6">
        <w:rPr>
          <w:rFonts w:ascii="Arial" w:hAnsi="Arial" w:cs="Arial"/>
          <w:color w:val="002060"/>
        </w:rPr>
        <w:t xml:space="preserve"> </w:t>
      </w:r>
      <w:r w:rsidR="00573F3C" w:rsidRPr="006A00E6">
        <w:rPr>
          <w:rFonts w:ascii="Arial" w:hAnsi="Arial" w:cs="Arial"/>
          <w:color w:val="002060"/>
        </w:rPr>
        <w:t xml:space="preserve">and </w:t>
      </w:r>
      <w:r w:rsidR="00224973" w:rsidRPr="006A00E6">
        <w:rPr>
          <w:rFonts w:ascii="Arial" w:hAnsi="Arial" w:cs="Arial"/>
          <w:color w:val="002060"/>
        </w:rPr>
        <w:t xml:space="preserve">change compared to </w:t>
      </w:r>
      <w:r w:rsidR="001111CF" w:rsidRPr="006A00E6">
        <w:rPr>
          <w:rFonts w:ascii="Arial" w:hAnsi="Arial" w:cs="Arial"/>
          <w:color w:val="002060"/>
        </w:rPr>
        <w:t>2022-23</w:t>
      </w:r>
    </w:p>
    <w:tbl>
      <w:tblPr>
        <w:tblStyle w:val="TableGrid"/>
        <w:tblpPr w:leftFromText="180" w:rightFromText="180" w:vertAnchor="text" w:horzAnchor="margin" w:tblpY="166"/>
        <w:tblW w:w="9469" w:type="dxa"/>
        <w:tblLook w:val="04A0" w:firstRow="1" w:lastRow="0" w:firstColumn="1" w:lastColumn="0" w:noHBand="0" w:noVBand="1"/>
      </w:tblPr>
      <w:tblGrid>
        <w:gridCol w:w="2399"/>
        <w:gridCol w:w="1980"/>
        <w:gridCol w:w="5090"/>
      </w:tblGrid>
      <w:tr w:rsidR="00E13F2C" w:rsidRPr="006A00E6" w14:paraId="75A604F1" w14:textId="77777777" w:rsidTr="00AA3202">
        <w:trPr>
          <w:trHeight w:val="340"/>
          <w:tblHeader/>
        </w:trPr>
        <w:tc>
          <w:tcPr>
            <w:tcW w:w="2399" w:type="dxa"/>
            <w:tcBorders>
              <w:bottom w:val="nil"/>
            </w:tcBorders>
            <w:shd w:val="clear" w:color="auto" w:fill="E7E6E6" w:themeFill="background2"/>
          </w:tcPr>
          <w:p w14:paraId="21B91FCD" w14:textId="464C901E" w:rsidR="00E13F2C" w:rsidRPr="006A00E6" w:rsidRDefault="00C06027" w:rsidP="00FF14C1">
            <w:pPr>
              <w:rPr>
                <w:rFonts w:ascii="Arial" w:hAnsi="Arial" w:cs="Arial"/>
                <w:b/>
                <w:bCs/>
              </w:rPr>
            </w:pPr>
            <w:bookmarkStart w:id="44" w:name="Title_10" w:colFirst="0" w:colLast="0"/>
            <w:r w:rsidRPr="006A00E6">
              <w:rPr>
                <w:rFonts w:ascii="Arial" w:hAnsi="Arial" w:cs="Arial"/>
                <w:b/>
                <w:bCs/>
              </w:rPr>
              <w:t>State/ territory</w:t>
            </w:r>
          </w:p>
        </w:tc>
        <w:tc>
          <w:tcPr>
            <w:tcW w:w="1980" w:type="dxa"/>
            <w:tcBorders>
              <w:bottom w:val="nil"/>
            </w:tcBorders>
            <w:shd w:val="clear" w:color="auto" w:fill="E7E6E6" w:themeFill="background2"/>
          </w:tcPr>
          <w:p w14:paraId="5605C8CC" w14:textId="0960FD3E" w:rsidR="00E13F2C" w:rsidRPr="006A00E6" w:rsidRDefault="00C06027" w:rsidP="00FF14C1">
            <w:pPr>
              <w:rPr>
                <w:rFonts w:ascii="Arial" w:hAnsi="Arial" w:cs="Arial"/>
                <w:b/>
                <w:bCs/>
              </w:rPr>
            </w:pPr>
            <w:r w:rsidRPr="006A00E6">
              <w:rPr>
                <w:rFonts w:ascii="Arial" w:hAnsi="Arial" w:cs="Arial"/>
                <w:b/>
                <w:bCs/>
              </w:rPr>
              <w:t>Total GSP</w:t>
            </w:r>
          </w:p>
        </w:tc>
        <w:tc>
          <w:tcPr>
            <w:tcW w:w="5090" w:type="dxa"/>
            <w:tcBorders>
              <w:bottom w:val="nil"/>
            </w:tcBorders>
            <w:shd w:val="clear" w:color="auto" w:fill="E7E6E6" w:themeFill="background2"/>
          </w:tcPr>
          <w:p w14:paraId="36F52555" w14:textId="5B31EA13" w:rsidR="00E13F2C" w:rsidRPr="006A00E6" w:rsidRDefault="00E13F2C" w:rsidP="00FF14C1">
            <w:pPr>
              <w:rPr>
                <w:rFonts w:ascii="Arial" w:hAnsi="Arial" w:cs="Arial"/>
                <w:b/>
                <w:bCs/>
              </w:rPr>
            </w:pPr>
            <w:r w:rsidRPr="006A00E6">
              <w:rPr>
                <w:rFonts w:ascii="Arial" w:hAnsi="Arial" w:cs="Arial"/>
                <w:b/>
                <w:bCs/>
              </w:rPr>
              <w:t xml:space="preserve">% change compared to </w:t>
            </w:r>
            <w:r w:rsidR="001111CF" w:rsidRPr="006A00E6">
              <w:rPr>
                <w:rFonts w:ascii="Arial" w:hAnsi="Arial" w:cs="Arial"/>
                <w:b/>
                <w:bCs/>
              </w:rPr>
              <w:t>2022-23</w:t>
            </w:r>
          </w:p>
        </w:tc>
      </w:tr>
      <w:bookmarkEnd w:id="44"/>
      <w:tr w:rsidR="00214F09" w:rsidRPr="006A00E6" w14:paraId="36FEABC3" w14:textId="77777777" w:rsidTr="00AA3202">
        <w:trPr>
          <w:trHeight w:val="340"/>
        </w:trPr>
        <w:tc>
          <w:tcPr>
            <w:tcW w:w="2399" w:type="dxa"/>
            <w:shd w:val="clear" w:color="auto" w:fill="E7E6E6" w:themeFill="background2"/>
          </w:tcPr>
          <w:p w14:paraId="279748E8" w14:textId="71F17739" w:rsidR="00214F09" w:rsidRPr="006A00E6" w:rsidRDefault="00214F09" w:rsidP="00214F09">
            <w:pPr>
              <w:rPr>
                <w:rFonts w:ascii="Arial" w:hAnsi="Arial" w:cs="Arial"/>
              </w:rPr>
            </w:pPr>
            <w:r w:rsidRPr="006A00E6">
              <w:rPr>
                <w:rFonts w:ascii="Arial" w:hAnsi="Arial" w:cs="Arial"/>
              </w:rPr>
              <w:t>Victoria</w:t>
            </w:r>
          </w:p>
        </w:tc>
        <w:tc>
          <w:tcPr>
            <w:tcW w:w="1980" w:type="dxa"/>
          </w:tcPr>
          <w:p w14:paraId="71D4AB12" w14:textId="34954FE2" w:rsidR="00214F09" w:rsidRPr="006A00E6" w:rsidRDefault="00214F09" w:rsidP="00214F09">
            <w:pPr>
              <w:rPr>
                <w:rFonts w:ascii="Arial" w:hAnsi="Arial" w:cs="Arial"/>
              </w:rPr>
            </w:pPr>
            <w:r w:rsidRPr="006A00E6">
              <w:rPr>
                <w:rFonts w:ascii="Arial" w:hAnsi="Arial" w:cs="Arial"/>
              </w:rPr>
              <w:t>$</w:t>
            </w:r>
            <w:r w:rsidR="0036779A" w:rsidRPr="006A00E6">
              <w:rPr>
                <w:rFonts w:ascii="Arial" w:hAnsi="Arial" w:cs="Arial"/>
              </w:rPr>
              <w:t>36</w:t>
            </w:r>
            <w:r w:rsidR="004E3BCD" w:rsidRPr="006A00E6">
              <w:rPr>
                <w:rFonts w:ascii="Arial" w:hAnsi="Arial" w:cs="Arial"/>
              </w:rPr>
              <w:t>.0</w:t>
            </w:r>
            <w:r w:rsidRPr="006A00E6">
              <w:rPr>
                <w:rFonts w:ascii="Arial" w:hAnsi="Arial" w:cs="Arial"/>
              </w:rPr>
              <w:t xml:space="preserve"> billion</w:t>
            </w:r>
          </w:p>
        </w:tc>
        <w:tc>
          <w:tcPr>
            <w:tcW w:w="5090" w:type="dxa"/>
          </w:tcPr>
          <w:p w14:paraId="06B3B3A0" w14:textId="5C017077" w:rsidR="00214F09" w:rsidRPr="006A00E6" w:rsidRDefault="00214F09" w:rsidP="00214F09">
            <w:pPr>
              <w:rPr>
                <w:rFonts w:ascii="Arial" w:hAnsi="Arial" w:cs="Arial"/>
              </w:rPr>
            </w:pPr>
            <w:r w:rsidRPr="006A00E6">
              <w:rPr>
                <w:rFonts w:ascii="Arial" w:hAnsi="Arial" w:cs="Arial"/>
              </w:rPr>
              <w:t xml:space="preserve">Increased </w:t>
            </w:r>
            <w:r w:rsidR="0036779A" w:rsidRPr="006A00E6">
              <w:rPr>
                <w:rFonts w:ascii="Arial" w:hAnsi="Arial" w:cs="Arial"/>
              </w:rPr>
              <w:t>13</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r w:rsidR="00214F09" w:rsidRPr="006A00E6" w14:paraId="430C7108" w14:textId="77777777" w:rsidTr="00AA3202">
        <w:trPr>
          <w:trHeight w:val="340"/>
        </w:trPr>
        <w:tc>
          <w:tcPr>
            <w:tcW w:w="2399" w:type="dxa"/>
            <w:shd w:val="clear" w:color="auto" w:fill="E7E6E6" w:themeFill="background2"/>
          </w:tcPr>
          <w:p w14:paraId="631018E0" w14:textId="299CC5A2" w:rsidR="00214F09" w:rsidRPr="006A00E6" w:rsidRDefault="00214F09" w:rsidP="00214F09">
            <w:pPr>
              <w:rPr>
                <w:rFonts w:ascii="Arial" w:hAnsi="Arial" w:cs="Arial"/>
              </w:rPr>
            </w:pPr>
            <w:r w:rsidRPr="006A00E6">
              <w:rPr>
                <w:rFonts w:ascii="Arial" w:hAnsi="Arial" w:cs="Arial"/>
              </w:rPr>
              <w:t>New South Wales</w:t>
            </w:r>
          </w:p>
        </w:tc>
        <w:tc>
          <w:tcPr>
            <w:tcW w:w="1980" w:type="dxa"/>
          </w:tcPr>
          <w:p w14:paraId="7B973CB0" w14:textId="629DC914" w:rsidR="00214F09" w:rsidRPr="006A00E6" w:rsidRDefault="00214F09" w:rsidP="00214F09">
            <w:pPr>
              <w:rPr>
                <w:rFonts w:ascii="Arial" w:hAnsi="Arial" w:cs="Arial"/>
              </w:rPr>
            </w:pPr>
            <w:r w:rsidRPr="006A00E6">
              <w:rPr>
                <w:rFonts w:ascii="Arial" w:hAnsi="Arial" w:cs="Arial"/>
              </w:rPr>
              <w:t>$</w:t>
            </w:r>
            <w:r w:rsidR="0036779A" w:rsidRPr="006A00E6">
              <w:rPr>
                <w:rFonts w:ascii="Arial" w:hAnsi="Arial" w:cs="Arial"/>
              </w:rPr>
              <w:t>4</w:t>
            </w:r>
            <w:r w:rsidRPr="006A00E6">
              <w:rPr>
                <w:rFonts w:ascii="Arial" w:hAnsi="Arial" w:cs="Arial"/>
              </w:rPr>
              <w:t>8.2 billion</w:t>
            </w:r>
          </w:p>
        </w:tc>
        <w:tc>
          <w:tcPr>
            <w:tcW w:w="5090" w:type="dxa"/>
          </w:tcPr>
          <w:p w14:paraId="74001AAE" w14:textId="1C0A2F5F" w:rsidR="00214F09" w:rsidRPr="006A00E6" w:rsidRDefault="00214F09" w:rsidP="00214F09">
            <w:pPr>
              <w:rPr>
                <w:rFonts w:ascii="Arial" w:hAnsi="Arial" w:cs="Arial"/>
              </w:rPr>
            </w:pPr>
            <w:r w:rsidRPr="006A00E6">
              <w:rPr>
                <w:rFonts w:ascii="Arial" w:hAnsi="Arial" w:cs="Arial"/>
              </w:rPr>
              <w:t xml:space="preserve">Increased </w:t>
            </w:r>
            <w:r w:rsidR="0036779A" w:rsidRPr="006A00E6">
              <w:rPr>
                <w:rFonts w:ascii="Arial" w:hAnsi="Arial" w:cs="Arial"/>
              </w:rPr>
              <w:t>13</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r w:rsidR="00214F09" w:rsidRPr="006A00E6" w14:paraId="31E25C13" w14:textId="77777777" w:rsidTr="00AA3202">
        <w:trPr>
          <w:trHeight w:val="340"/>
        </w:trPr>
        <w:tc>
          <w:tcPr>
            <w:tcW w:w="2399" w:type="dxa"/>
            <w:shd w:val="clear" w:color="auto" w:fill="E7E6E6" w:themeFill="background2"/>
          </w:tcPr>
          <w:p w14:paraId="4F59286E" w14:textId="5D565735" w:rsidR="00214F09" w:rsidRPr="006A00E6" w:rsidRDefault="00214F09" w:rsidP="00214F09">
            <w:pPr>
              <w:rPr>
                <w:rFonts w:ascii="Arial" w:hAnsi="Arial" w:cs="Arial"/>
              </w:rPr>
            </w:pPr>
            <w:r w:rsidRPr="006A00E6">
              <w:rPr>
                <w:rFonts w:ascii="Arial" w:hAnsi="Arial" w:cs="Arial"/>
              </w:rPr>
              <w:t>Queensland</w:t>
            </w:r>
          </w:p>
        </w:tc>
        <w:tc>
          <w:tcPr>
            <w:tcW w:w="1980" w:type="dxa"/>
          </w:tcPr>
          <w:p w14:paraId="2A70ECB6" w14:textId="5915D943" w:rsidR="00214F09" w:rsidRPr="006A00E6" w:rsidRDefault="00214F09" w:rsidP="00214F09">
            <w:pPr>
              <w:rPr>
                <w:rFonts w:ascii="Arial" w:hAnsi="Arial" w:cs="Arial"/>
              </w:rPr>
            </w:pPr>
            <w:r w:rsidRPr="006A00E6">
              <w:rPr>
                <w:rFonts w:ascii="Arial" w:hAnsi="Arial" w:cs="Arial"/>
              </w:rPr>
              <w:t>$3</w:t>
            </w:r>
            <w:r w:rsidR="00595D7A" w:rsidRPr="006A00E6">
              <w:rPr>
                <w:rFonts w:ascii="Arial" w:hAnsi="Arial" w:cs="Arial"/>
              </w:rPr>
              <w:t xml:space="preserve">7.6 </w:t>
            </w:r>
            <w:r w:rsidRPr="006A00E6">
              <w:rPr>
                <w:rFonts w:ascii="Arial" w:hAnsi="Arial" w:cs="Arial"/>
              </w:rPr>
              <w:t>billion</w:t>
            </w:r>
          </w:p>
        </w:tc>
        <w:tc>
          <w:tcPr>
            <w:tcW w:w="5090" w:type="dxa"/>
          </w:tcPr>
          <w:p w14:paraId="4935D969" w14:textId="679DEBCC" w:rsidR="00214F09" w:rsidRPr="006A00E6" w:rsidRDefault="00214F09" w:rsidP="00214F09">
            <w:pPr>
              <w:rPr>
                <w:rFonts w:ascii="Arial" w:hAnsi="Arial" w:cs="Arial"/>
              </w:rPr>
            </w:pPr>
            <w:r w:rsidRPr="006A00E6">
              <w:rPr>
                <w:rFonts w:ascii="Arial" w:hAnsi="Arial" w:cs="Arial"/>
              </w:rPr>
              <w:t xml:space="preserve">Increased </w:t>
            </w:r>
            <w:r w:rsidR="00595D7A" w:rsidRPr="006A00E6">
              <w:rPr>
                <w:rFonts w:ascii="Arial" w:hAnsi="Arial" w:cs="Arial"/>
              </w:rPr>
              <w:t>6</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r w:rsidR="00214F09" w:rsidRPr="006A00E6" w14:paraId="49B1A000" w14:textId="77777777" w:rsidTr="00AA3202">
        <w:trPr>
          <w:trHeight w:val="340"/>
        </w:trPr>
        <w:tc>
          <w:tcPr>
            <w:tcW w:w="2399" w:type="dxa"/>
            <w:shd w:val="clear" w:color="auto" w:fill="E7E6E6" w:themeFill="background2"/>
          </w:tcPr>
          <w:p w14:paraId="53F310F4" w14:textId="788EAF56" w:rsidR="00214F09" w:rsidRPr="006A00E6" w:rsidRDefault="00214F09" w:rsidP="00214F09">
            <w:pPr>
              <w:rPr>
                <w:rFonts w:ascii="Arial" w:hAnsi="Arial" w:cs="Arial"/>
              </w:rPr>
            </w:pPr>
            <w:r w:rsidRPr="006A00E6">
              <w:rPr>
                <w:rFonts w:ascii="Arial" w:hAnsi="Arial" w:cs="Arial"/>
              </w:rPr>
              <w:t>South Australia</w:t>
            </w:r>
          </w:p>
        </w:tc>
        <w:tc>
          <w:tcPr>
            <w:tcW w:w="1980" w:type="dxa"/>
          </w:tcPr>
          <w:p w14:paraId="2EDE487E" w14:textId="43AF3AF9" w:rsidR="00214F09" w:rsidRPr="006A00E6" w:rsidRDefault="00214F09" w:rsidP="00214F09">
            <w:pPr>
              <w:rPr>
                <w:rFonts w:ascii="Arial" w:hAnsi="Arial" w:cs="Arial"/>
              </w:rPr>
            </w:pPr>
            <w:r w:rsidRPr="006A00E6">
              <w:rPr>
                <w:rFonts w:ascii="Arial" w:hAnsi="Arial" w:cs="Arial"/>
              </w:rPr>
              <w:t>$</w:t>
            </w:r>
            <w:r w:rsidR="00595D7A" w:rsidRPr="006A00E6">
              <w:rPr>
                <w:rFonts w:ascii="Arial" w:hAnsi="Arial" w:cs="Arial"/>
              </w:rPr>
              <w:t>9.5</w:t>
            </w:r>
            <w:r w:rsidRPr="006A00E6">
              <w:rPr>
                <w:rFonts w:ascii="Arial" w:hAnsi="Arial" w:cs="Arial"/>
              </w:rPr>
              <w:t xml:space="preserve"> billion</w:t>
            </w:r>
          </w:p>
        </w:tc>
        <w:tc>
          <w:tcPr>
            <w:tcW w:w="5090" w:type="dxa"/>
          </w:tcPr>
          <w:p w14:paraId="208FDA2C" w14:textId="03D4E51A" w:rsidR="00214F09" w:rsidRPr="006A00E6" w:rsidRDefault="00214F09" w:rsidP="00214F09">
            <w:pPr>
              <w:rPr>
                <w:rFonts w:ascii="Arial" w:hAnsi="Arial" w:cs="Arial"/>
              </w:rPr>
            </w:pPr>
            <w:r w:rsidRPr="006A00E6">
              <w:rPr>
                <w:rFonts w:ascii="Arial" w:hAnsi="Arial" w:cs="Arial"/>
              </w:rPr>
              <w:t xml:space="preserve">Increased </w:t>
            </w:r>
            <w:r w:rsidR="00594AFF" w:rsidRPr="006A00E6">
              <w:rPr>
                <w:rFonts w:ascii="Arial" w:hAnsi="Arial" w:cs="Arial"/>
              </w:rPr>
              <w:t>2</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r w:rsidR="00214F09" w:rsidRPr="006A00E6" w14:paraId="1D1A0B25" w14:textId="77777777" w:rsidTr="00AA3202">
        <w:trPr>
          <w:trHeight w:val="340"/>
        </w:trPr>
        <w:tc>
          <w:tcPr>
            <w:tcW w:w="2399" w:type="dxa"/>
            <w:shd w:val="clear" w:color="auto" w:fill="E7E6E6" w:themeFill="background2"/>
          </w:tcPr>
          <w:p w14:paraId="3E540DEC" w14:textId="5863E856" w:rsidR="00214F09" w:rsidRPr="006A00E6" w:rsidRDefault="00214F09" w:rsidP="00214F09">
            <w:pPr>
              <w:rPr>
                <w:rFonts w:ascii="Arial" w:hAnsi="Arial" w:cs="Arial"/>
              </w:rPr>
            </w:pPr>
            <w:r w:rsidRPr="006A00E6">
              <w:rPr>
                <w:rFonts w:ascii="Arial" w:hAnsi="Arial" w:cs="Arial"/>
              </w:rPr>
              <w:t>Western Australia</w:t>
            </w:r>
          </w:p>
        </w:tc>
        <w:tc>
          <w:tcPr>
            <w:tcW w:w="1980" w:type="dxa"/>
          </w:tcPr>
          <w:p w14:paraId="39A6DC1E" w14:textId="696F015A" w:rsidR="00214F09" w:rsidRPr="006A00E6" w:rsidRDefault="00214F09" w:rsidP="00214F09">
            <w:pPr>
              <w:rPr>
                <w:rFonts w:ascii="Arial" w:hAnsi="Arial" w:cs="Arial"/>
              </w:rPr>
            </w:pPr>
            <w:r w:rsidRPr="006A00E6">
              <w:rPr>
                <w:rFonts w:ascii="Arial" w:hAnsi="Arial" w:cs="Arial"/>
              </w:rPr>
              <w:t>$1</w:t>
            </w:r>
            <w:r w:rsidR="00DA0EDE" w:rsidRPr="006A00E6">
              <w:rPr>
                <w:rFonts w:ascii="Arial" w:hAnsi="Arial" w:cs="Arial"/>
              </w:rPr>
              <w:t xml:space="preserve">5.9 </w:t>
            </w:r>
            <w:r w:rsidRPr="006A00E6">
              <w:rPr>
                <w:rFonts w:ascii="Arial" w:hAnsi="Arial" w:cs="Arial"/>
              </w:rPr>
              <w:t>billion</w:t>
            </w:r>
          </w:p>
        </w:tc>
        <w:tc>
          <w:tcPr>
            <w:tcW w:w="5090" w:type="dxa"/>
          </w:tcPr>
          <w:p w14:paraId="51574C61" w14:textId="5BAE0EA6" w:rsidR="00214F09" w:rsidRPr="006A00E6" w:rsidRDefault="00214F09" w:rsidP="00214F09">
            <w:pPr>
              <w:rPr>
                <w:rFonts w:ascii="Arial" w:hAnsi="Arial" w:cs="Arial"/>
              </w:rPr>
            </w:pPr>
            <w:r w:rsidRPr="006A00E6">
              <w:rPr>
                <w:rFonts w:ascii="Arial" w:hAnsi="Arial" w:cs="Arial"/>
              </w:rPr>
              <w:t xml:space="preserve">Increased </w:t>
            </w:r>
            <w:r w:rsidR="00DA0EDE" w:rsidRPr="006A00E6">
              <w:rPr>
                <w:rFonts w:ascii="Arial" w:hAnsi="Arial" w:cs="Arial"/>
              </w:rPr>
              <w:t>8</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r w:rsidR="00214F09" w:rsidRPr="006A00E6" w14:paraId="4FD60C82" w14:textId="77777777" w:rsidTr="00AA3202">
        <w:trPr>
          <w:trHeight w:val="340"/>
        </w:trPr>
        <w:tc>
          <w:tcPr>
            <w:tcW w:w="2399" w:type="dxa"/>
            <w:shd w:val="clear" w:color="auto" w:fill="E7E6E6" w:themeFill="background2"/>
          </w:tcPr>
          <w:p w14:paraId="0B2A3F1F" w14:textId="086CCE92" w:rsidR="00214F09" w:rsidRPr="006A00E6" w:rsidRDefault="00214F09" w:rsidP="00214F09">
            <w:pPr>
              <w:rPr>
                <w:rFonts w:ascii="Arial" w:hAnsi="Arial" w:cs="Arial"/>
              </w:rPr>
            </w:pPr>
            <w:r w:rsidRPr="006A00E6">
              <w:rPr>
                <w:rFonts w:ascii="Arial" w:hAnsi="Arial" w:cs="Arial"/>
              </w:rPr>
              <w:t>Tasmania</w:t>
            </w:r>
          </w:p>
        </w:tc>
        <w:tc>
          <w:tcPr>
            <w:tcW w:w="1980" w:type="dxa"/>
          </w:tcPr>
          <w:p w14:paraId="6EC42FF9" w14:textId="158A86B3" w:rsidR="00214F09" w:rsidRPr="006A00E6" w:rsidRDefault="00214F09" w:rsidP="00214F09">
            <w:pPr>
              <w:rPr>
                <w:rFonts w:ascii="Arial" w:hAnsi="Arial" w:cs="Arial"/>
              </w:rPr>
            </w:pPr>
            <w:r w:rsidRPr="006A00E6">
              <w:rPr>
                <w:rFonts w:ascii="Arial" w:hAnsi="Arial" w:cs="Arial"/>
              </w:rPr>
              <w:t>$</w:t>
            </w:r>
            <w:r w:rsidR="00705AF8" w:rsidRPr="006A00E6">
              <w:rPr>
                <w:rFonts w:ascii="Arial" w:hAnsi="Arial" w:cs="Arial"/>
              </w:rPr>
              <w:t>4</w:t>
            </w:r>
            <w:r w:rsidRPr="006A00E6">
              <w:rPr>
                <w:rFonts w:ascii="Arial" w:hAnsi="Arial" w:cs="Arial"/>
              </w:rPr>
              <w:t>.5 billion</w:t>
            </w:r>
          </w:p>
        </w:tc>
        <w:tc>
          <w:tcPr>
            <w:tcW w:w="5090" w:type="dxa"/>
          </w:tcPr>
          <w:p w14:paraId="777147A2" w14:textId="2FD74A2A" w:rsidR="00214F09" w:rsidRPr="006A00E6" w:rsidRDefault="00214F09" w:rsidP="00214F09">
            <w:pPr>
              <w:rPr>
                <w:rFonts w:ascii="Arial" w:hAnsi="Arial" w:cs="Arial"/>
              </w:rPr>
            </w:pPr>
            <w:r w:rsidRPr="006A00E6">
              <w:rPr>
                <w:rFonts w:ascii="Arial" w:hAnsi="Arial" w:cs="Arial"/>
              </w:rPr>
              <w:t xml:space="preserve">Increased </w:t>
            </w:r>
            <w:r w:rsidR="00705AF8" w:rsidRPr="006A00E6">
              <w:rPr>
                <w:rFonts w:ascii="Arial" w:hAnsi="Arial" w:cs="Arial"/>
              </w:rPr>
              <w:t>15</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r w:rsidR="00214F09" w:rsidRPr="006A00E6" w14:paraId="20EABD1A" w14:textId="77777777" w:rsidTr="00AA3202">
        <w:trPr>
          <w:trHeight w:val="340"/>
        </w:trPr>
        <w:tc>
          <w:tcPr>
            <w:tcW w:w="2399" w:type="dxa"/>
            <w:shd w:val="clear" w:color="auto" w:fill="E7E6E6" w:themeFill="background2"/>
          </w:tcPr>
          <w:p w14:paraId="61AABE67" w14:textId="39F0155D" w:rsidR="00214F09" w:rsidRPr="006A00E6" w:rsidRDefault="00214F09" w:rsidP="00214F09">
            <w:pPr>
              <w:rPr>
                <w:rFonts w:ascii="Arial" w:hAnsi="Arial" w:cs="Arial"/>
              </w:rPr>
            </w:pPr>
            <w:r w:rsidRPr="006A00E6">
              <w:rPr>
                <w:rFonts w:ascii="Arial" w:hAnsi="Arial" w:cs="Arial"/>
              </w:rPr>
              <w:t>Northern Territory</w:t>
            </w:r>
          </w:p>
        </w:tc>
        <w:tc>
          <w:tcPr>
            <w:tcW w:w="1980" w:type="dxa"/>
          </w:tcPr>
          <w:p w14:paraId="6E5753D3" w14:textId="38ABFEE7" w:rsidR="00214F09" w:rsidRPr="006A00E6" w:rsidRDefault="00214F09" w:rsidP="00214F09">
            <w:pPr>
              <w:rPr>
                <w:rFonts w:ascii="Arial" w:hAnsi="Arial" w:cs="Arial"/>
              </w:rPr>
            </w:pPr>
            <w:r w:rsidRPr="006A00E6">
              <w:rPr>
                <w:rFonts w:ascii="Arial" w:hAnsi="Arial" w:cs="Arial"/>
              </w:rPr>
              <w:t>$</w:t>
            </w:r>
            <w:r w:rsidR="00705AF8" w:rsidRPr="006A00E6">
              <w:rPr>
                <w:rFonts w:ascii="Arial" w:hAnsi="Arial" w:cs="Arial"/>
              </w:rPr>
              <w:t>3.0</w:t>
            </w:r>
            <w:r w:rsidRPr="006A00E6">
              <w:rPr>
                <w:rFonts w:ascii="Arial" w:hAnsi="Arial" w:cs="Arial"/>
              </w:rPr>
              <w:t xml:space="preserve"> billion</w:t>
            </w:r>
          </w:p>
        </w:tc>
        <w:tc>
          <w:tcPr>
            <w:tcW w:w="5090" w:type="dxa"/>
          </w:tcPr>
          <w:p w14:paraId="2737C0C3" w14:textId="7FBFCE62" w:rsidR="00214F09" w:rsidRPr="006A00E6" w:rsidRDefault="00214F09" w:rsidP="00214F09">
            <w:pPr>
              <w:rPr>
                <w:rFonts w:ascii="Arial" w:hAnsi="Arial" w:cs="Arial"/>
              </w:rPr>
            </w:pPr>
            <w:r w:rsidRPr="006A00E6">
              <w:rPr>
                <w:rFonts w:ascii="Arial" w:hAnsi="Arial" w:cs="Arial"/>
              </w:rPr>
              <w:t xml:space="preserve">Increased </w:t>
            </w:r>
            <w:r w:rsidR="00705AF8" w:rsidRPr="006A00E6">
              <w:rPr>
                <w:rFonts w:ascii="Arial" w:hAnsi="Arial" w:cs="Arial"/>
              </w:rPr>
              <w:t>7</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r w:rsidR="00214F09" w:rsidRPr="00B82E1F" w14:paraId="029C067C" w14:textId="77777777" w:rsidTr="00AA3202">
        <w:trPr>
          <w:trHeight w:val="340"/>
        </w:trPr>
        <w:tc>
          <w:tcPr>
            <w:tcW w:w="2399" w:type="dxa"/>
            <w:shd w:val="clear" w:color="auto" w:fill="E7E6E6" w:themeFill="background2"/>
          </w:tcPr>
          <w:p w14:paraId="68655420" w14:textId="46C12ABA" w:rsidR="00214F09" w:rsidRPr="006A00E6" w:rsidRDefault="00214F09" w:rsidP="00214F09">
            <w:pPr>
              <w:rPr>
                <w:rFonts w:ascii="Arial" w:hAnsi="Arial" w:cs="Arial"/>
              </w:rPr>
            </w:pPr>
            <w:r w:rsidRPr="006A00E6">
              <w:rPr>
                <w:rFonts w:ascii="Arial" w:hAnsi="Arial" w:cs="Arial"/>
              </w:rPr>
              <w:t>A</w:t>
            </w:r>
            <w:r w:rsidR="0099632B">
              <w:rPr>
                <w:rFonts w:ascii="Arial" w:hAnsi="Arial" w:cs="Arial"/>
              </w:rPr>
              <w:t>ustralian Capital Territory</w:t>
            </w:r>
          </w:p>
        </w:tc>
        <w:tc>
          <w:tcPr>
            <w:tcW w:w="1980" w:type="dxa"/>
          </w:tcPr>
          <w:p w14:paraId="12594CFC" w14:textId="1AA1CE86" w:rsidR="00214F09" w:rsidRPr="006A00E6" w:rsidRDefault="00214F09" w:rsidP="00214F09">
            <w:pPr>
              <w:rPr>
                <w:rFonts w:ascii="Arial" w:hAnsi="Arial" w:cs="Arial"/>
              </w:rPr>
            </w:pPr>
            <w:r w:rsidRPr="006A00E6">
              <w:rPr>
                <w:rFonts w:ascii="Arial" w:hAnsi="Arial" w:cs="Arial"/>
              </w:rPr>
              <w:t>$</w:t>
            </w:r>
            <w:r w:rsidR="00705AF8" w:rsidRPr="006A00E6">
              <w:rPr>
                <w:rFonts w:ascii="Arial" w:hAnsi="Arial" w:cs="Arial"/>
              </w:rPr>
              <w:t>3.2</w:t>
            </w:r>
            <w:r w:rsidRPr="006A00E6">
              <w:rPr>
                <w:rFonts w:ascii="Arial" w:hAnsi="Arial" w:cs="Arial"/>
              </w:rPr>
              <w:t xml:space="preserve"> billion</w:t>
            </w:r>
          </w:p>
        </w:tc>
        <w:tc>
          <w:tcPr>
            <w:tcW w:w="5090" w:type="dxa"/>
          </w:tcPr>
          <w:p w14:paraId="06EB0E9B" w14:textId="66D45348" w:rsidR="00214F09" w:rsidRPr="006A00E6" w:rsidRDefault="00214F09" w:rsidP="00214F09">
            <w:pPr>
              <w:rPr>
                <w:rFonts w:ascii="Arial" w:hAnsi="Arial" w:cs="Arial"/>
              </w:rPr>
            </w:pPr>
            <w:r w:rsidRPr="006A00E6">
              <w:rPr>
                <w:rFonts w:ascii="Arial" w:hAnsi="Arial" w:cs="Arial"/>
              </w:rPr>
              <w:t xml:space="preserve">Increased </w:t>
            </w:r>
            <w:r w:rsidR="00705AF8" w:rsidRPr="006A00E6">
              <w:rPr>
                <w:rFonts w:ascii="Arial" w:hAnsi="Arial" w:cs="Arial"/>
              </w:rPr>
              <w:t>6</w:t>
            </w:r>
            <w:r w:rsidRPr="006A00E6">
              <w:rPr>
                <w:rFonts w:ascii="Arial" w:hAnsi="Arial" w:cs="Arial"/>
              </w:rPr>
              <w:t xml:space="preserve">% compared to </w:t>
            </w:r>
            <w:r w:rsidR="001111CF" w:rsidRPr="006A00E6">
              <w:rPr>
                <w:rFonts w:ascii="Arial" w:hAnsi="Arial" w:cs="Arial"/>
              </w:rPr>
              <w:t>2022-23</w:t>
            </w:r>
            <w:r w:rsidRPr="006A00E6">
              <w:rPr>
                <w:rFonts w:ascii="Arial" w:hAnsi="Arial" w:cs="Arial"/>
              </w:rPr>
              <w:t xml:space="preserve"> financial year </w:t>
            </w:r>
          </w:p>
        </w:tc>
      </w:tr>
    </w:tbl>
    <w:p w14:paraId="63037726" w14:textId="77777777" w:rsidR="00E13F2C" w:rsidRPr="00B82E1F" w:rsidRDefault="00E13F2C" w:rsidP="006B560E">
      <w:pPr>
        <w:spacing w:after="0" w:line="240" w:lineRule="auto"/>
        <w:rPr>
          <w:rFonts w:ascii="Arial" w:hAnsi="Arial" w:cs="Arial"/>
        </w:rPr>
      </w:pPr>
    </w:p>
    <w:p w14:paraId="173FF4F6" w14:textId="2ABA7A82" w:rsidR="003C7477" w:rsidRPr="00B82E1F" w:rsidRDefault="0010326B" w:rsidP="00782688">
      <w:pPr>
        <w:pStyle w:val="Heading2"/>
        <w:rPr>
          <w:rFonts w:ascii="Arial" w:hAnsi="Arial" w:cs="Arial"/>
          <w:color w:val="002060"/>
        </w:rPr>
      </w:pPr>
      <w:bookmarkStart w:id="45" w:name="_Toc194938471"/>
      <w:r w:rsidRPr="00B82E1F">
        <w:rPr>
          <w:rFonts w:ascii="Arial" w:hAnsi="Arial" w:cs="Arial"/>
          <w:color w:val="002060"/>
        </w:rPr>
        <w:t xml:space="preserve">8.3 </w:t>
      </w:r>
      <w:r w:rsidR="003108DF" w:rsidRPr="00B82E1F">
        <w:rPr>
          <w:rFonts w:ascii="Arial" w:hAnsi="Arial" w:cs="Arial"/>
          <w:color w:val="002060"/>
        </w:rPr>
        <w:t>Tourism filled jobs</w:t>
      </w:r>
      <w:bookmarkEnd w:id="45"/>
    </w:p>
    <w:p w14:paraId="3A530906" w14:textId="77777777" w:rsidR="00DC6A90" w:rsidRPr="0099632B" w:rsidRDefault="00DC6A90" w:rsidP="00DC6A90">
      <w:pPr>
        <w:pStyle w:val="ListParagraph"/>
        <w:numPr>
          <w:ilvl w:val="0"/>
          <w:numId w:val="8"/>
        </w:numPr>
        <w:rPr>
          <w:rFonts w:ascii="Arial" w:hAnsi="Arial" w:cs="Arial"/>
          <w:sz w:val="23"/>
          <w:szCs w:val="23"/>
        </w:rPr>
      </w:pPr>
      <w:r w:rsidRPr="0099632B">
        <w:rPr>
          <w:rFonts w:ascii="Arial" w:hAnsi="Arial" w:cs="Arial"/>
          <w:sz w:val="23"/>
          <w:szCs w:val="23"/>
        </w:rPr>
        <w:t>Nationally, tourism’s total contribution (direct and indirect) to tourism-filled jobs was 1.2 million. This was up 6% compared to 2022-23 and 14% above the 2018-19 result. This growth reflects the expanding labour market needed to meet rising consumer demand for tourism experiences.</w:t>
      </w:r>
    </w:p>
    <w:p w14:paraId="1E8E0C84" w14:textId="77777777" w:rsidR="00DC6A90" w:rsidRPr="0099632B" w:rsidRDefault="00DC6A90" w:rsidP="00DC6A90">
      <w:pPr>
        <w:pStyle w:val="ListParagraph"/>
        <w:numPr>
          <w:ilvl w:val="0"/>
          <w:numId w:val="8"/>
        </w:numPr>
        <w:rPr>
          <w:rFonts w:ascii="Arial" w:hAnsi="Arial" w:cs="Arial"/>
          <w:sz w:val="23"/>
          <w:szCs w:val="23"/>
        </w:rPr>
      </w:pPr>
      <w:r w:rsidRPr="0099632B">
        <w:rPr>
          <w:rFonts w:ascii="Arial" w:hAnsi="Arial" w:cs="Arial"/>
          <w:sz w:val="23"/>
          <w:szCs w:val="23"/>
        </w:rPr>
        <w:t>The jurisdictions that contributed the most to total national tourism-filled jobs in 2023-24 were New South Wales at 328,200, followed by Victoria at 288,800 which was ahead of Queensland with 276,800 tourism-filled jobs.</w:t>
      </w:r>
    </w:p>
    <w:p w14:paraId="25E8977E" w14:textId="77777777" w:rsidR="00DC6A90" w:rsidRPr="0099632B" w:rsidRDefault="00DC6A90" w:rsidP="00DC6A90">
      <w:pPr>
        <w:pStyle w:val="ListParagraph"/>
        <w:numPr>
          <w:ilvl w:val="0"/>
          <w:numId w:val="8"/>
        </w:numPr>
        <w:rPr>
          <w:rFonts w:ascii="Arial" w:hAnsi="Arial" w:cs="Arial"/>
          <w:sz w:val="23"/>
          <w:szCs w:val="23"/>
        </w:rPr>
      </w:pPr>
      <w:r w:rsidRPr="0099632B">
        <w:rPr>
          <w:rFonts w:ascii="Arial" w:hAnsi="Arial" w:cs="Arial"/>
          <w:sz w:val="23"/>
          <w:szCs w:val="23"/>
        </w:rPr>
        <w:t xml:space="preserve">Total tourism-filled jobs experienced solid growth in New South Wales in 2023-24 compared to 2022-23 (+9%), with Victoria up 8% and Queensland up 3%, while South Australia was the only jurisdiction that saw a decline (-1%). </w:t>
      </w:r>
    </w:p>
    <w:p w14:paraId="5DB7DB28" w14:textId="48BA15F1" w:rsidR="00827E20" w:rsidRPr="00B82E1F" w:rsidRDefault="00921421" w:rsidP="00DC6A90">
      <w:pPr>
        <w:pStyle w:val="Heading2"/>
        <w:spacing w:before="240" w:after="120"/>
        <w:rPr>
          <w:rFonts w:ascii="Arial" w:hAnsi="Arial" w:cs="Arial"/>
          <w:color w:val="002060"/>
        </w:rPr>
      </w:pPr>
      <w:bookmarkStart w:id="46" w:name="_Toc194938472"/>
      <w:r w:rsidRPr="00B82E1F">
        <w:rPr>
          <w:rFonts w:ascii="Arial" w:hAnsi="Arial" w:cs="Arial"/>
          <w:color w:val="002060"/>
        </w:rPr>
        <w:t xml:space="preserve">8.4 </w:t>
      </w:r>
      <w:r w:rsidR="00827E20" w:rsidRPr="00B82E1F">
        <w:rPr>
          <w:rFonts w:ascii="Arial" w:hAnsi="Arial" w:cs="Arial"/>
          <w:color w:val="002060"/>
        </w:rPr>
        <w:t>Data table</w:t>
      </w:r>
      <w:bookmarkEnd w:id="46"/>
    </w:p>
    <w:p w14:paraId="24C6FFC7" w14:textId="7F6AACB8" w:rsidR="003108DF" w:rsidRPr="00B82E1F" w:rsidRDefault="00921421" w:rsidP="00313271">
      <w:pPr>
        <w:pStyle w:val="Heading3"/>
        <w:spacing w:before="240" w:after="120"/>
        <w:rPr>
          <w:rFonts w:ascii="Arial" w:eastAsiaTheme="minorHAnsi" w:hAnsi="Arial" w:cs="Arial"/>
          <w:color w:val="002060"/>
        </w:rPr>
      </w:pPr>
      <w:r w:rsidRPr="0099632B">
        <w:rPr>
          <w:rFonts w:ascii="Arial" w:eastAsiaTheme="minorHAnsi" w:hAnsi="Arial" w:cs="Arial"/>
          <w:color w:val="002060"/>
        </w:rPr>
        <w:t xml:space="preserve">8.4.1 </w:t>
      </w:r>
      <w:r w:rsidR="003108DF" w:rsidRPr="0099632B">
        <w:rPr>
          <w:rFonts w:ascii="Arial" w:eastAsiaTheme="minorHAnsi" w:hAnsi="Arial" w:cs="Arial"/>
          <w:color w:val="002060"/>
        </w:rPr>
        <w:t xml:space="preserve">State comparisons of tourism’s contribution to tourism filled jobs in </w:t>
      </w:r>
      <w:r w:rsidR="00087CA3" w:rsidRPr="0099632B">
        <w:rPr>
          <w:rFonts w:ascii="Arial" w:eastAsiaTheme="minorHAnsi" w:hAnsi="Arial" w:cs="Arial"/>
          <w:color w:val="002060"/>
        </w:rPr>
        <w:t>2023-24</w:t>
      </w:r>
      <w:r w:rsidR="002A4BD7" w:rsidRPr="0099632B">
        <w:rPr>
          <w:rFonts w:ascii="Arial" w:eastAsiaTheme="minorHAnsi" w:hAnsi="Arial" w:cs="Arial"/>
          <w:color w:val="002060"/>
        </w:rPr>
        <w:t xml:space="preserve"> </w:t>
      </w:r>
      <w:r w:rsidR="00224973" w:rsidRPr="0099632B">
        <w:rPr>
          <w:rFonts w:ascii="Arial" w:eastAsiaTheme="minorHAnsi" w:hAnsi="Arial" w:cs="Arial"/>
          <w:color w:val="002060"/>
        </w:rPr>
        <w:t xml:space="preserve">and change compared to </w:t>
      </w:r>
      <w:r w:rsidR="001111CF" w:rsidRPr="0099632B">
        <w:rPr>
          <w:rFonts w:ascii="Arial" w:eastAsiaTheme="minorHAnsi" w:hAnsi="Arial" w:cs="Arial"/>
          <w:color w:val="002060"/>
        </w:rPr>
        <w:t>2022-23</w:t>
      </w:r>
    </w:p>
    <w:tbl>
      <w:tblPr>
        <w:tblStyle w:val="TableGrid"/>
        <w:tblpPr w:leftFromText="180" w:rightFromText="180" w:vertAnchor="text" w:horzAnchor="margin" w:tblpY="166"/>
        <w:tblW w:w="9469" w:type="dxa"/>
        <w:tblLook w:val="04A0" w:firstRow="1" w:lastRow="0" w:firstColumn="1" w:lastColumn="0" w:noHBand="0" w:noVBand="1"/>
      </w:tblPr>
      <w:tblGrid>
        <w:gridCol w:w="2399"/>
        <w:gridCol w:w="1849"/>
        <w:gridCol w:w="5221"/>
      </w:tblGrid>
      <w:tr w:rsidR="003108DF" w:rsidRPr="00B82E1F" w14:paraId="04CE59C1" w14:textId="77777777" w:rsidTr="00055971">
        <w:trPr>
          <w:trHeight w:val="340"/>
          <w:tblHeader/>
        </w:trPr>
        <w:tc>
          <w:tcPr>
            <w:tcW w:w="2399" w:type="dxa"/>
            <w:tcBorders>
              <w:bottom w:val="nil"/>
            </w:tcBorders>
            <w:shd w:val="clear" w:color="auto" w:fill="E7E6E6" w:themeFill="background2"/>
          </w:tcPr>
          <w:p w14:paraId="014F3A15" w14:textId="77777777" w:rsidR="003108DF" w:rsidRPr="0099632B" w:rsidRDefault="003108DF" w:rsidP="00FF14C1">
            <w:pPr>
              <w:rPr>
                <w:rFonts w:ascii="Arial" w:hAnsi="Arial" w:cs="Arial"/>
                <w:b/>
                <w:bCs/>
              </w:rPr>
            </w:pPr>
            <w:bookmarkStart w:id="47" w:name="Title_11" w:colFirst="0" w:colLast="0"/>
            <w:r w:rsidRPr="0099632B">
              <w:rPr>
                <w:rFonts w:ascii="Arial" w:hAnsi="Arial" w:cs="Arial"/>
                <w:b/>
                <w:bCs/>
              </w:rPr>
              <w:t>State/ territory</w:t>
            </w:r>
          </w:p>
        </w:tc>
        <w:tc>
          <w:tcPr>
            <w:tcW w:w="1849" w:type="dxa"/>
            <w:tcBorders>
              <w:bottom w:val="nil"/>
            </w:tcBorders>
            <w:shd w:val="clear" w:color="auto" w:fill="E7E6E6" w:themeFill="background2"/>
          </w:tcPr>
          <w:p w14:paraId="5773E15D" w14:textId="4B5952AE" w:rsidR="003108DF" w:rsidRPr="0099632B" w:rsidRDefault="003108DF" w:rsidP="00FF14C1">
            <w:pPr>
              <w:rPr>
                <w:rFonts w:ascii="Arial" w:hAnsi="Arial" w:cs="Arial"/>
                <w:b/>
                <w:bCs/>
              </w:rPr>
            </w:pPr>
            <w:r w:rsidRPr="0099632B">
              <w:rPr>
                <w:rFonts w:ascii="Arial" w:hAnsi="Arial" w:cs="Arial"/>
                <w:b/>
                <w:bCs/>
              </w:rPr>
              <w:t>Total filled jobs</w:t>
            </w:r>
          </w:p>
        </w:tc>
        <w:tc>
          <w:tcPr>
            <w:tcW w:w="5221" w:type="dxa"/>
            <w:tcBorders>
              <w:bottom w:val="nil"/>
            </w:tcBorders>
            <w:shd w:val="clear" w:color="auto" w:fill="E7E6E6" w:themeFill="background2"/>
          </w:tcPr>
          <w:p w14:paraId="13998D4C" w14:textId="1E5DF0E7" w:rsidR="003108DF" w:rsidRPr="0099632B" w:rsidRDefault="003108DF" w:rsidP="00FF14C1">
            <w:pPr>
              <w:rPr>
                <w:rFonts w:ascii="Arial" w:hAnsi="Arial" w:cs="Arial"/>
                <w:b/>
                <w:bCs/>
              </w:rPr>
            </w:pPr>
            <w:r w:rsidRPr="0099632B">
              <w:rPr>
                <w:rFonts w:ascii="Arial" w:hAnsi="Arial" w:cs="Arial"/>
                <w:b/>
                <w:bCs/>
              </w:rPr>
              <w:t xml:space="preserve">% change compared to </w:t>
            </w:r>
            <w:r w:rsidR="001111CF" w:rsidRPr="0099632B">
              <w:rPr>
                <w:rFonts w:ascii="Arial" w:hAnsi="Arial" w:cs="Arial"/>
                <w:b/>
                <w:bCs/>
              </w:rPr>
              <w:t>2022-23</w:t>
            </w:r>
          </w:p>
        </w:tc>
      </w:tr>
      <w:bookmarkEnd w:id="47"/>
      <w:tr w:rsidR="00055971" w:rsidRPr="00B82E1F" w14:paraId="60A00411" w14:textId="77777777" w:rsidTr="00055971">
        <w:trPr>
          <w:trHeight w:val="340"/>
        </w:trPr>
        <w:tc>
          <w:tcPr>
            <w:tcW w:w="2399" w:type="dxa"/>
            <w:shd w:val="clear" w:color="auto" w:fill="E7E6E6" w:themeFill="background2"/>
          </w:tcPr>
          <w:p w14:paraId="3034CC16" w14:textId="77777777" w:rsidR="00055971" w:rsidRPr="0099632B" w:rsidRDefault="00055971" w:rsidP="00055971">
            <w:pPr>
              <w:rPr>
                <w:rFonts w:ascii="Arial" w:hAnsi="Arial" w:cs="Arial"/>
              </w:rPr>
            </w:pPr>
            <w:r w:rsidRPr="0099632B">
              <w:rPr>
                <w:rFonts w:ascii="Arial" w:hAnsi="Arial" w:cs="Arial"/>
              </w:rPr>
              <w:t>Victoria</w:t>
            </w:r>
          </w:p>
        </w:tc>
        <w:tc>
          <w:tcPr>
            <w:tcW w:w="1849" w:type="dxa"/>
          </w:tcPr>
          <w:p w14:paraId="74862EB9" w14:textId="69886526" w:rsidR="00055971" w:rsidRPr="0099632B" w:rsidRDefault="00055971" w:rsidP="00055971">
            <w:pPr>
              <w:rPr>
                <w:rFonts w:ascii="Arial" w:hAnsi="Arial" w:cs="Arial"/>
              </w:rPr>
            </w:pPr>
            <w:r w:rsidRPr="0099632B">
              <w:rPr>
                <w:rFonts w:ascii="Arial" w:hAnsi="Arial" w:cs="Arial"/>
              </w:rPr>
              <w:t>2</w:t>
            </w:r>
            <w:r w:rsidR="00DC6A90" w:rsidRPr="0099632B">
              <w:rPr>
                <w:rFonts w:ascii="Arial" w:hAnsi="Arial" w:cs="Arial"/>
              </w:rPr>
              <w:t>88</w:t>
            </w:r>
            <w:r w:rsidRPr="0099632B">
              <w:rPr>
                <w:rFonts w:ascii="Arial" w:hAnsi="Arial" w:cs="Arial"/>
              </w:rPr>
              <w:t>,</w:t>
            </w:r>
            <w:r w:rsidR="00DC6A90" w:rsidRPr="0099632B">
              <w:rPr>
                <w:rFonts w:ascii="Arial" w:hAnsi="Arial" w:cs="Arial"/>
              </w:rPr>
              <w:t>8</w:t>
            </w:r>
            <w:r w:rsidRPr="0099632B">
              <w:rPr>
                <w:rFonts w:ascii="Arial" w:hAnsi="Arial" w:cs="Arial"/>
              </w:rPr>
              <w:t>00</w:t>
            </w:r>
          </w:p>
        </w:tc>
        <w:tc>
          <w:tcPr>
            <w:tcW w:w="5221" w:type="dxa"/>
          </w:tcPr>
          <w:p w14:paraId="5ABB5B07" w14:textId="1FCF8234" w:rsidR="00055971" w:rsidRPr="0099632B" w:rsidRDefault="00055971" w:rsidP="00055971">
            <w:pPr>
              <w:rPr>
                <w:rFonts w:ascii="Arial" w:hAnsi="Arial" w:cs="Arial"/>
              </w:rPr>
            </w:pPr>
            <w:r w:rsidRPr="0099632B">
              <w:rPr>
                <w:rFonts w:ascii="Arial" w:hAnsi="Arial" w:cs="Arial"/>
              </w:rPr>
              <w:t xml:space="preserve">Increased </w:t>
            </w:r>
            <w:r w:rsidR="00DC6A90" w:rsidRPr="0099632B">
              <w:rPr>
                <w:rFonts w:ascii="Arial" w:hAnsi="Arial" w:cs="Arial"/>
              </w:rPr>
              <w:t>8</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r>
      <w:tr w:rsidR="00055971" w:rsidRPr="00B82E1F" w14:paraId="7F0DD5E5" w14:textId="77777777" w:rsidTr="00055971">
        <w:trPr>
          <w:trHeight w:val="340"/>
        </w:trPr>
        <w:tc>
          <w:tcPr>
            <w:tcW w:w="2399" w:type="dxa"/>
            <w:shd w:val="clear" w:color="auto" w:fill="E7E6E6" w:themeFill="background2"/>
          </w:tcPr>
          <w:p w14:paraId="75C8E8EC" w14:textId="77777777" w:rsidR="00055971" w:rsidRPr="0099632B" w:rsidRDefault="00055971" w:rsidP="00055971">
            <w:pPr>
              <w:rPr>
                <w:rFonts w:ascii="Arial" w:hAnsi="Arial" w:cs="Arial"/>
              </w:rPr>
            </w:pPr>
            <w:r w:rsidRPr="0099632B">
              <w:rPr>
                <w:rFonts w:ascii="Arial" w:hAnsi="Arial" w:cs="Arial"/>
              </w:rPr>
              <w:t>New South Wales</w:t>
            </w:r>
          </w:p>
        </w:tc>
        <w:tc>
          <w:tcPr>
            <w:tcW w:w="1849" w:type="dxa"/>
          </w:tcPr>
          <w:p w14:paraId="379CA364" w14:textId="357542CA" w:rsidR="00055971" w:rsidRPr="0099632B" w:rsidRDefault="00DC6A90" w:rsidP="00055971">
            <w:pPr>
              <w:rPr>
                <w:rFonts w:ascii="Arial" w:hAnsi="Arial" w:cs="Arial"/>
              </w:rPr>
            </w:pPr>
            <w:r w:rsidRPr="0099632B">
              <w:rPr>
                <w:rFonts w:ascii="Arial" w:hAnsi="Arial" w:cs="Arial"/>
              </w:rPr>
              <w:t>3</w:t>
            </w:r>
            <w:r w:rsidR="0078689D" w:rsidRPr="0099632B">
              <w:rPr>
                <w:rFonts w:ascii="Arial" w:hAnsi="Arial" w:cs="Arial"/>
              </w:rPr>
              <w:t>28</w:t>
            </w:r>
            <w:r w:rsidR="00055971" w:rsidRPr="0099632B">
              <w:rPr>
                <w:rFonts w:ascii="Arial" w:hAnsi="Arial" w:cs="Arial"/>
              </w:rPr>
              <w:t>,</w:t>
            </w:r>
            <w:r w:rsidR="0078689D" w:rsidRPr="0099632B">
              <w:rPr>
                <w:rFonts w:ascii="Arial" w:hAnsi="Arial" w:cs="Arial"/>
              </w:rPr>
              <w:t>2</w:t>
            </w:r>
            <w:r w:rsidR="00055971" w:rsidRPr="0099632B">
              <w:rPr>
                <w:rFonts w:ascii="Arial" w:hAnsi="Arial" w:cs="Arial"/>
              </w:rPr>
              <w:t>00</w:t>
            </w:r>
          </w:p>
        </w:tc>
        <w:tc>
          <w:tcPr>
            <w:tcW w:w="5221" w:type="dxa"/>
          </w:tcPr>
          <w:p w14:paraId="0F34FE56" w14:textId="24E02286" w:rsidR="00055971" w:rsidRPr="0099632B" w:rsidRDefault="00055971" w:rsidP="00055971">
            <w:pPr>
              <w:rPr>
                <w:rFonts w:ascii="Arial" w:hAnsi="Arial" w:cs="Arial"/>
              </w:rPr>
            </w:pPr>
            <w:r w:rsidRPr="0099632B">
              <w:rPr>
                <w:rFonts w:ascii="Arial" w:hAnsi="Arial" w:cs="Arial"/>
              </w:rPr>
              <w:t xml:space="preserve">Increased </w:t>
            </w:r>
            <w:r w:rsidR="0078689D" w:rsidRPr="0099632B">
              <w:rPr>
                <w:rFonts w:ascii="Arial" w:hAnsi="Arial" w:cs="Arial"/>
              </w:rPr>
              <w:t>9</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r>
      <w:tr w:rsidR="00055971" w:rsidRPr="00B82E1F" w14:paraId="348D643B" w14:textId="77777777" w:rsidTr="00055971">
        <w:trPr>
          <w:trHeight w:val="340"/>
        </w:trPr>
        <w:tc>
          <w:tcPr>
            <w:tcW w:w="2399" w:type="dxa"/>
            <w:shd w:val="clear" w:color="auto" w:fill="E7E6E6" w:themeFill="background2"/>
          </w:tcPr>
          <w:p w14:paraId="50D3BC49" w14:textId="77777777" w:rsidR="00055971" w:rsidRPr="0099632B" w:rsidRDefault="00055971" w:rsidP="00055971">
            <w:pPr>
              <w:rPr>
                <w:rFonts w:ascii="Arial" w:hAnsi="Arial" w:cs="Arial"/>
              </w:rPr>
            </w:pPr>
            <w:r w:rsidRPr="0099632B">
              <w:rPr>
                <w:rFonts w:ascii="Arial" w:hAnsi="Arial" w:cs="Arial"/>
              </w:rPr>
              <w:t>Queensland</w:t>
            </w:r>
          </w:p>
        </w:tc>
        <w:tc>
          <w:tcPr>
            <w:tcW w:w="1849" w:type="dxa"/>
          </w:tcPr>
          <w:p w14:paraId="65EB0D5D" w14:textId="04081E8F" w:rsidR="00055971" w:rsidRPr="0099632B" w:rsidRDefault="00055971" w:rsidP="00055971">
            <w:pPr>
              <w:rPr>
                <w:rFonts w:ascii="Arial" w:hAnsi="Arial" w:cs="Arial"/>
              </w:rPr>
            </w:pPr>
            <w:r w:rsidRPr="0099632B">
              <w:rPr>
                <w:rFonts w:ascii="Arial" w:hAnsi="Arial" w:cs="Arial"/>
              </w:rPr>
              <w:t>2</w:t>
            </w:r>
            <w:r w:rsidR="0078689D" w:rsidRPr="0099632B">
              <w:rPr>
                <w:rFonts w:ascii="Arial" w:hAnsi="Arial" w:cs="Arial"/>
              </w:rPr>
              <w:t>76</w:t>
            </w:r>
            <w:r w:rsidRPr="0099632B">
              <w:rPr>
                <w:rFonts w:ascii="Arial" w:hAnsi="Arial" w:cs="Arial"/>
              </w:rPr>
              <w:t>,</w:t>
            </w:r>
            <w:r w:rsidR="0078689D" w:rsidRPr="0099632B">
              <w:rPr>
                <w:rFonts w:ascii="Arial" w:hAnsi="Arial" w:cs="Arial"/>
              </w:rPr>
              <w:t>8</w:t>
            </w:r>
            <w:r w:rsidRPr="0099632B">
              <w:rPr>
                <w:rFonts w:ascii="Arial" w:hAnsi="Arial" w:cs="Arial"/>
              </w:rPr>
              <w:t>00</w:t>
            </w:r>
          </w:p>
        </w:tc>
        <w:tc>
          <w:tcPr>
            <w:tcW w:w="5221" w:type="dxa"/>
          </w:tcPr>
          <w:p w14:paraId="056CA89E" w14:textId="13953F43" w:rsidR="00055971" w:rsidRPr="0099632B" w:rsidRDefault="00055971" w:rsidP="00055971">
            <w:pPr>
              <w:rPr>
                <w:rFonts w:ascii="Arial" w:hAnsi="Arial" w:cs="Arial"/>
              </w:rPr>
            </w:pPr>
            <w:r w:rsidRPr="0099632B">
              <w:rPr>
                <w:rFonts w:ascii="Arial" w:hAnsi="Arial" w:cs="Arial"/>
              </w:rPr>
              <w:t xml:space="preserve">Increased </w:t>
            </w:r>
            <w:r w:rsidR="0078689D" w:rsidRPr="0099632B">
              <w:rPr>
                <w:rFonts w:ascii="Arial" w:hAnsi="Arial" w:cs="Arial"/>
              </w:rPr>
              <w:t>3</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r>
      <w:tr w:rsidR="00055971" w:rsidRPr="00B82E1F" w14:paraId="5E04E4B2" w14:textId="77777777" w:rsidTr="00055971">
        <w:trPr>
          <w:trHeight w:val="340"/>
        </w:trPr>
        <w:tc>
          <w:tcPr>
            <w:tcW w:w="2399" w:type="dxa"/>
            <w:shd w:val="clear" w:color="auto" w:fill="E7E6E6" w:themeFill="background2"/>
          </w:tcPr>
          <w:p w14:paraId="2F4AF311" w14:textId="77777777" w:rsidR="00055971" w:rsidRPr="0099632B" w:rsidRDefault="00055971" w:rsidP="00055971">
            <w:pPr>
              <w:rPr>
                <w:rFonts w:ascii="Arial" w:hAnsi="Arial" w:cs="Arial"/>
              </w:rPr>
            </w:pPr>
            <w:r w:rsidRPr="0099632B">
              <w:rPr>
                <w:rFonts w:ascii="Arial" w:hAnsi="Arial" w:cs="Arial"/>
              </w:rPr>
              <w:t>South Australia</w:t>
            </w:r>
          </w:p>
        </w:tc>
        <w:tc>
          <w:tcPr>
            <w:tcW w:w="1849" w:type="dxa"/>
          </w:tcPr>
          <w:p w14:paraId="695B9F87" w14:textId="49C8A899" w:rsidR="00055971" w:rsidRPr="0099632B" w:rsidRDefault="0078689D" w:rsidP="00055971">
            <w:pPr>
              <w:rPr>
                <w:rFonts w:ascii="Arial" w:hAnsi="Arial" w:cs="Arial"/>
              </w:rPr>
            </w:pPr>
            <w:r w:rsidRPr="0099632B">
              <w:rPr>
                <w:rFonts w:ascii="Arial" w:hAnsi="Arial" w:cs="Arial"/>
              </w:rPr>
              <w:t>71</w:t>
            </w:r>
            <w:r w:rsidR="00055971" w:rsidRPr="0099632B">
              <w:rPr>
                <w:rFonts w:ascii="Arial" w:hAnsi="Arial" w:cs="Arial"/>
              </w:rPr>
              <w:t>,</w:t>
            </w:r>
            <w:r w:rsidRPr="0099632B">
              <w:rPr>
                <w:rFonts w:ascii="Arial" w:hAnsi="Arial" w:cs="Arial"/>
              </w:rPr>
              <w:t>5</w:t>
            </w:r>
            <w:r w:rsidR="00055971" w:rsidRPr="0099632B">
              <w:rPr>
                <w:rFonts w:ascii="Arial" w:hAnsi="Arial" w:cs="Arial"/>
              </w:rPr>
              <w:t>00</w:t>
            </w:r>
          </w:p>
        </w:tc>
        <w:tc>
          <w:tcPr>
            <w:tcW w:w="5221" w:type="dxa"/>
          </w:tcPr>
          <w:p w14:paraId="7B03DB66" w14:textId="2A45E51A" w:rsidR="00055971" w:rsidRPr="0099632B" w:rsidRDefault="0078689D" w:rsidP="00055971">
            <w:pPr>
              <w:rPr>
                <w:rFonts w:ascii="Arial" w:hAnsi="Arial" w:cs="Arial"/>
              </w:rPr>
            </w:pPr>
            <w:r w:rsidRPr="0099632B">
              <w:rPr>
                <w:rFonts w:ascii="Arial" w:hAnsi="Arial" w:cs="Arial"/>
              </w:rPr>
              <w:t>De</w:t>
            </w:r>
            <w:r w:rsidR="00055971" w:rsidRPr="0099632B">
              <w:rPr>
                <w:rFonts w:ascii="Arial" w:hAnsi="Arial" w:cs="Arial"/>
              </w:rPr>
              <w:t xml:space="preserve">creased </w:t>
            </w:r>
            <w:r w:rsidRPr="0099632B">
              <w:rPr>
                <w:rFonts w:ascii="Arial" w:hAnsi="Arial" w:cs="Arial"/>
              </w:rPr>
              <w:t>1</w:t>
            </w:r>
            <w:r w:rsidR="00055971" w:rsidRPr="0099632B">
              <w:rPr>
                <w:rFonts w:ascii="Arial" w:hAnsi="Arial" w:cs="Arial"/>
              </w:rPr>
              <w:t xml:space="preserve">% compared to </w:t>
            </w:r>
            <w:r w:rsidR="001111CF" w:rsidRPr="0099632B">
              <w:rPr>
                <w:rFonts w:ascii="Arial" w:hAnsi="Arial" w:cs="Arial"/>
              </w:rPr>
              <w:t>2022-23</w:t>
            </w:r>
            <w:r w:rsidR="00055971" w:rsidRPr="0099632B">
              <w:rPr>
                <w:rFonts w:ascii="Arial" w:hAnsi="Arial" w:cs="Arial"/>
              </w:rPr>
              <w:t xml:space="preserve"> financial year </w:t>
            </w:r>
          </w:p>
        </w:tc>
      </w:tr>
      <w:tr w:rsidR="00055971" w:rsidRPr="00B82E1F" w14:paraId="7E236209" w14:textId="77777777" w:rsidTr="00055971">
        <w:trPr>
          <w:trHeight w:val="340"/>
        </w:trPr>
        <w:tc>
          <w:tcPr>
            <w:tcW w:w="2399" w:type="dxa"/>
            <w:shd w:val="clear" w:color="auto" w:fill="E7E6E6" w:themeFill="background2"/>
          </w:tcPr>
          <w:p w14:paraId="7CC65840" w14:textId="77777777" w:rsidR="00055971" w:rsidRPr="0099632B" w:rsidRDefault="00055971" w:rsidP="00055971">
            <w:pPr>
              <w:rPr>
                <w:rFonts w:ascii="Arial" w:hAnsi="Arial" w:cs="Arial"/>
              </w:rPr>
            </w:pPr>
            <w:r w:rsidRPr="0099632B">
              <w:rPr>
                <w:rFonts w:ascii="Arial" w:hAnsi="Arial" w:cs="Arial"/>
              </w:rPr>
              <w:t>Western Australia</w:t>
            </w:r>
          </w:p>
        </w:tc>
        <w:tc>
          <w:tcPr>
            <w:tcW w:w="1849" w:type="dxa"/>
          </w:tcPr>
          <w:p w14:paraId="60349C6A" w14:textId="07E4B1BB" w:rsidR="00055971" w:rsidRPr="0099632B" w:rsidRDefault="00055971" w:rsidP="00055971">
            <w:pPr>
              <w:rPr>
                <w:rFonts w:ascii="Arial" w:hAnsi="Arial" w:cs="Arial"/>
              </w:rPr>
            </w:pPr>
            <w:r w:rsidRPr="0099632B">
              <w:rPr>
                <w:rFonts w:ascii="Arial" w:hAnsi="Arial" w:cs="Arial"/>
              </w:rPr>
              <w:t>1</w:t>
            </w:r>
            <w:r w:rsidR="0078689D" w:rsidRPr="0099632B">
              <w:rPr>
                <w:rFonts w:ascii="Arial" w:hAnsi="Arial" w:cs="Arial"/>
              </w:rPr>
              <w:t>2</w:t>
            </w:r>
            <w:r w:rsidRPr="0099632B">
              <w:rPr>
                <w:rFonts w:ascii="Arial" w:hAnsi="Arial" w:cs="Arial"/>
              </w:rPr>
              <w:t>0,</w:t>
            </w:r>
            <w:r w:rsidR="0078689D" w:rsidRPr="0099632B">
              <w:rPr>
                <w:rFonts w:ascii="Arial" w:hAnsi="Arial" w:cs="Arial"/>
              </w:rPr>
              <w:t>1</w:t>
            </w:r>
            <w:r w:rsidRPr="0099632B">
              <w:rPr>
                <w:rFonts w:ascii="Arial" w:hAnsi="Arial" w:cs="Arial"/>
              </w:rPr>
              <w:t>00</w:t>
            </w:r>
          </w:p>
        </w:tc>
        <w:tc>
          <w:tcPr>
            <w:tcW w:w="5221" w:type="dxa"/>
          </w:tcPr>
          <w:p w14:paraId="5D617070" w14:textId="1BC7E542" w:rsidR="00055971" w:rsidRPr="0099632B" w:rsidRDefault="00055971" w:rsidP="00055971">
            <w:pPr>
              <w:rPr>
                <w:rFonts w:ascii="Arial" w:hAnsi="Arial" w:cs="Arial"/>
              </w:rPr>
            </w:pPr>
            <w:r w:rsidRPr="0099632B">
              <w:rPr>
                <w:rFonts w:ascii="Arial" w:hAnsi="Arial" w:cs="Arial"/>
              </w:rPr>
              <w:t xml:space="preserve">Increased </w:t>
            </w:r>
            <w:r w:rsidR="0078689D" w:rsidRPr="0099632B">
              <w:rPr>
                <w:rFonts w:ascii="Arial" w:hAnsi="Arial" w:cs="Arial"/>
              </w:rPr>
              <w:t>5</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r>
      <w:tr w:rsidR="00055971" w:rsidRPr="00B82E1F" w14:paraId="58138F2F" w14:textId="77777777" w:rsidTr="00055971">
        <w:trPr>
          <w:trHeight w:val="340"/>
        </w:trPr>
        <w:tc>
          <w:tcPr>
            <w:tcW w:w="2399" w:type="dxa"/>
            <w:shd w:val="clear" w:color="auto" w:fill="E7E6E6" w:themeFill="background2"/>
          </w:tcPr>
          <w:p w14:paraId="2E74DBF2" w14:textId="77777777" w:rsidR="00055971" w:rsidRPr="0099632B" w:rsidRDefault="00055971" w:rsidP="00055971">
            <w:pPr>
              <w:rPr>
                <w:rFonts w:ascii="Arial" w:hAnsi="Arial" w:cs="Arial"/>
              </w:rPr>
            </w:pPr>
            <w:r w:rsidRPr="0099632B">
              <w:rPr>
                <w:rFonts w:ascii="Arial" w:hAnsi="Arial" w:cs="Arial"/>
              </w:rPr>
              <w:t>Tasmania</w:t>
            </w:r>
          </w:p>
        </w:tc>
        <w:tc>
          <w:tcPr>
            <w:tcW w:w="1849" w:type="dxa"/>
          </w:tcPr>
          <w:p w14:paraId="5426A350" w14:textId="1664DC2F" w:rsidR="00055971" w:rsidRPr="0099632B" w:rsidRDefault="0078689D" w:rsidP="00055971">
            <w:pPr>
              <w:rPr>
                <w:rFonts w:ascii="Arial" w:hAnsi="Arial" w:cs="Arial"/>
              </w:rPr>
            </w:pPr>
            <w:r w:rsidRPr="0099632B">
              <w:rPr>
                <w:rFonts w:ascii="Arial" w:hAnsi="Arial" w:cs="Arial"/>
              </w:rPr>
              <w:t>50</w:t>
            </w:r>
            <w:r w:rsidR="00055971" w:rsidRPr="0099632B">
              <w:rPr>
                <w:rFonts w:ascii="Arial" w:hAnsi="Arial" w:cs="Arial"/>
              </w:rPr>
              <w:t>,</w:t>
            </w:r>
            <w:r w:rsidRPr="0099632B">
              <w:rPr>
                <w:rFonts w:ascii="Arial" w:hAnsi="Arial" w:cs="Arial"/>
              </w:rPr>
              <w:t>8</w:t>
            </w:r>
            <w:r w:rsidR="00055971" w:rsidRPr="0099632B">
              <w:rPr>
                <w:rFonts w:ascii="Arial" w:hAnsi="Arial" w:cs="Arial"/>
              </w:rPr>
              <w:t>00</w:t>
            </w:r>
          </w:p>
        </w:tc>
        <w:tc>
          <w:tcPr>
            <w:tcW w:w="5221" w:type="dxa"/>
          </w:tcPr>
          <w:p w14:paraId="69540A14" w14:textId="78517AAD" w:rsidR="00055971" w:rsidRPr="0099632B" w:rsidRDefault="00055971" w:rsidP="00055971">
            <w:pPr>
              <w:rPr>
                <w:rFonts w:ascii="Arial" w:hAnsi="Arial" w:cs="Arial"/>
              </w:rPr>
            </w:pPr>
            <w:r w:rsidRPr="0099632B">
              <w:rPr>
                <w:rFonts w:ascii="Arial" w:hAnsi="Arial" w:cs="Arial"/>
              </w:rPr>
              <w:t xml:space="preserve">Increased </w:t>
            </w:r>
            <w:r w:rsidR="0078689D" w:rsidRPr="0099632B">
              <w:rPr>
                <w:rFonts w:ascii="Arial" w:hAnsi="Arial" w:cs="Arial"/>
              </w:rPr>
              <w:t>14</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r>
      <w:tr w:rsidR="00055971" w:rsidRPr="00B82E1F" w14:paraId="48052F22" w14:textId="77777777" w:rsidTr="00055971">
        <w:trPr>
          <w:trHeight w:val="340"/>
        </w:trPr>
        <w:tc>
          <w:tcPr>
            <w:tcW w:w="2399" w:type="dxa"/>
            <w:shd w:val="clear" w:color="auto" w:fill="E7E6E6" w:themeFill="background2"/>
          </w:tcPr>
          <w:p w14:paraId="0168E9D3" w14:textId="77777777" w:rsidR="00055971" w:rsidRPr="0099632B" w:rsidRDefault="00055971" w:rsidP="00055971">
            <w:pPr>
              <w:rPr>
                <w:rFonts w:ascii="Arial" w:hAnsi="Arial" w:cs="Arial"/>
              </w:rPr>
            </w:pPr>
            <w:r w:rsidRPr="0099632B">
              <w:rPr>
                <w:rFonts w:ascii="Arial" w:hAnsi="Arial" w:cs="Arial"/>
              </w:rPr>
              <w:t>Northern Territory</w:t>
            </w:r>
          </w:p>
        </w:tc>
        <w:tc>
          <w:tcPr>
            <w:tcW w:w="1849" w:type="dxa"/>
          </w:tcPr>
          <w:p w14:paraId="30DEFEC6" w14:textId="42357551" w:rsidR="00055971" w:rsidRPr="0099632B" w:rsidRDefault="00055971" w:rsidP="00055971">
            <w:pPr>
              <w:rPr>
                <w:rFonts w:ascii="Arial" w:hAnsi="Arial" w:cs="Arial"/>
              </w:rPr>
            </w:pPr>
            <w:r w:rsidRPr="0099632B">
              <w:rPr>
                <w:rFonts w:ascii="Arial" w:hAnsi="Arial" w:cs="Arial"/>
              </w:rPr>
              <w:t>1</w:t>
            </w:r>
            <w:r w:rsidR="0078689D" w:rsidRPr="0099632B">
              <w:rPr>
                <w:rFonts w:ascii="Arial" w:hAnsi="Arial" w:cs="Arial"/>
              </w:rPr>
              <w:t>7</w:t>
            </w:r>
            <w:r w:rsidRPr="0099632B">
              <w:rPr>
                <w:rFonts w:ascii="Arial" w:hAnsi="Arial" w:cs="Arial"/>
              </w:rPr>
              <w:t>,</w:t>
            </w:r>
            <w:r w:rsidR="0078689D" w:rsidRPr="0099632B">
              <w:rPr>
                <w:rFonts w:ascii="Arial" w:hAnsi="Arial" w:cs="Arial"/>
              </w:rPr>
              <w:t>0</w:t>
            </w:r>
            <w:r w:rsidRPr="0099632B">
              <w:rPr>
                <w:rFonts w:ascii="Arial" w:hAnsi="Arial" w:cs="Arial"/>
              </w:rPr>
              <w:t>00</w:t>
            </w:r>
          </w:p>
        </w:tc>
        <w:tc>
          <w:tcPr>
            <w:tcW w:w="5221" w:type="dxa"/>
          </w:tcPr>
          <w:p w14:paraId="75E0B178" w14:textId="65F3A1E8" w:rsidR="00055971" w:rsidRPr="0099632B" w:rsidRDefault="00055971" w:rsidP="00055971">
            <w:pPr>
              <w:rPr>
                <w:rFonts w:ascii="Arial" w:hAnsi="Arial" w:cs="Arial"/>
              </w:rPr>
            </w:pPr>
            <w:r w:rsidRPr="0099632B">
              <w:rPr>
                <w:rFonts w:ascii="Arial" w:hAnsi="Arial" w:cs="Arial"/>
              </w:rPr>
              <w:t xml:space="preserve">Increased </w:t>
            </w:r>
            <w:r w:rsidR="0078689D" w:rsidRPr="0099632B">
              <w:rPr>
                <w:rFonts w:ascii="Arial" w:hAnsi="Arial" w:cs="Arial"/>
              </w:rPr>
              <w:t>4</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r>
      <w:tr w:rsidR="00055971" w:rsidRPr="00B82E1F" w14:paraId="133125AC" w14:textId="77777777" w:rsidTr="00055971">
        <w:trPr>
          <w:trHeight w:val="340"/>
        </w:trPr>
        <w:tc>
          <w:tcPr>
            <w:tcW w:w="2399" w:type="dxa"/>
            <w:shd w:val="clear" w:color="auto" w:fill="E7E6E6" w:themeFill="background2"/>
          </w:tcPr>
          <w:p w14:paraId="09EE0831" w14:textId="77777777" w:rsidR="00055971" w:rsidRPr="0099632B" w:rsidRDefault="00055971" w:rsidP="00055971">
            <w:pPr>
              <w:rPr>
                <w:rFonts w:ascii="Arial" w:hAnsi="Arial" w:cs="Arial"/>
              </w:rPr>
            </w:pPr>
            <w:r w:rsidRPr="0099632B">
              <w:rPr>
                <w:rFonts w:ascii="Arial" w:hAnsi="Arial" w:cs="Arial"/>
              </w:rPr>
              <w:t>ACT</w:t>
            </w:r>
          </w:p>
        </w:tc>
        <w:tc>
          <w:tcPr>
            <w:tcW w:w="1849" w:type="dxa"/>
          </w:tcPr>
          <w:p w14:paraId="0BBCF54E" w14:textId="2FD6FDDC" w:rsidR="00055971" w:rsidRPr="0099632B" w:rsidRDefault="00055971" w:rsidP="00055971">
            <w:pPr>
              <w:rPr>
                <w:rFonts w:ascii="Arial" w:hAnsi="Arial" w:cs="Arial"/>
              </w:rPr>
            </w:pPr>
            <w:r w:rsidRPr="0099632B">
              <w:rPr>
                <w:rFonts w:ascii="Arial" w:hAnsi="Arial" w:cs="Arial"/>
              </w:rPr>
              <w:t>2</w:t>
            </w:r>
            <w:r w:rsidR="0078689D" w:rsidRPr="0099632B">
              <w:rPr>
                <w:rFonts w:ascii="Arial" w:hAnsi="Arial" w:cs="Arial"/>
              </w:rPr>
              <w:t>2</w:t>
            </w:r>
            <w:r w:rsidRPr="0099632B">
              <w:rPr>
                <w:rFonts w:ascii="Arial" w:hAnsi="Arial" w:cs="Arial"/>
              </w:rPr>
              <w:t>,</w:t>
            </w:r>
            <w:r w:rsidR="0078689D" w:rsidRPr="0099632B">
              <w:rPr>
                <w:rFonts w:ascii="Arial" w:hAnsi="Arial" w:cs="Arial"/>
              </w:rPr>
              <w:t>2</w:t>
            </w:r>
            <w:r w:rsidRPr="0099632B">
              <w:rPr>
                <w:rFonts w:ascii="Arial" w:hAnsi="Arial" w:cs="Arial"/>
              </w:rPr>
              <w:t>00</w:t>
            </w:r>
          </w:p>
        </w:tc>
        <w:tc>
          <w:tcPr>
            <w:tcW w:w="5221" w:type="dxa"/>
          </w:tcPr>
          <w:p w14:paraId="6B1B58F9" w14:textId="5300414C" w:rsidR="00055971" w:rsidRPr="0099632B" w:rsidRDefault="00055971" w:rsidP="00055971">
            <w:pPr>
              <w:rPr>
                <w:rFonts w:ascii="Arial" w:hAnsi="Arial" w:cs="Arial"/>
              </w:rPr>
            </w:pPr>
            <w:r w:rsidRPr="0099632B">
              <w:rPr>
                <w:rFonts w:ascii="Arial" w:hAnsi="Arial" w:cs="Arial"/>
              </w:rPr>
              <w:t xml:space="preserve">Increased </w:t>
            </w:r>
            <w:r w:rsidR="0078689D" w:rsidRPr="0099632B">
              <w:rPr>
                <w:rFonts w:ascii="Arial" w:hAnsi="Arial" w:cs="Arial"/>
              </w:rPr>
              <w:t>5</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r>
    </w:tbl>
    <w:p w14:paraId="5F7EE976" w14:textId="77777777" w:rsidR="003108DF" w:rsidRDefault="003108DF" w:rsidP="001849BC">
      <w:pPr>
        <w:pStyle w:val="NoSpacing"/>
        <w:rPr>
          <w:rFonts w:ascii="Arial" w:hAnsi="Arial" w:cs="Arial"/>
        </w:rPr>
      </w:pPr>
    </w:p>
    <w:p w14:paraId="0A1D07C9" w14:textId="77777777" w:rsidR="00986705" w:rsidRDefault="00986705" w:rsidP="001849BC">
      <w:pPr>
        <w:pStyle w:val="NoSpacing"/>
        <w:rPr>
          <w:rFonts w:ascii="Arial" w:hAnsi="Arial" w:cs="Arial"/>
        </w:rPr>
      </w:pPr>
    </w:p>
    <w:p w14:paraId="6D5F5C57" w14:textId="77777777" w:rsidR="00986705" w:rsidRDefault="00986705" w:rsidP="001849BC">
      <w:pPr>
        <w:pStyle w:val="NoSpacing"/>
        <w:rPr>
          <w:rFonts w:ascii="Arial" w:hAnsi="Arial" w:cs="Arial"/>
        </w:rPr>
      </w:pPr>
    </w:p>
    <w:p w14:paraId="5E0EF78D" w14:textId="77777777" w:rsidR="00986705" w:rsidRPr="00B82E1F" w:rsidRDefault="00986705" w:rsidP="001849BC">
      <w:pPr>
        <w:pStyle w:val="NoSpacing"/>
        <w:rPr>
          <w:rFonts w:ascii="Arial" w:hAnsi="Arial" w:cs="Arial"/>
        </w:rPr>
      </w:pPr>
    </w:p>
    <w:p w14:paraId="4386A0A7" w14:textId="356EB21E" w:rsidR="005C49C3" w:rsidRPr="0099632B" w:rsidRDefault="00921421" w:rsidP="00782688">
      <w:pPr>
        <w:pStyle w:val="Heading2"/>
        <w:rPr>
          <w:rFonts w:ascii="Arial" w:hAnsi="Arial" w:cs="Arial"/>
          <w:color w:val="002060"/>
        </w:rPr>
      </w:pPr>
      <w:bookmarkStart w:id="48" w:name="_Toc194938473"/>
      <w:r w:rsidRPr="00B82E1F">
        <w:rPr>
          <w:rFonts w:ascii="Arial" w:hAnsi="Arial" w:cs="Arial"/>
          <w:color w:val="002060"/>
        </w:rPr>
        <w:lastRenderedPageBreak/>
        <w:t xml:space="preserve">8.5 </w:t>
      </w:r>
      <w:r w:rsidR="005C49C3" w:rsidRPr="0099632B">
        <w:rPr>
          <w:rFonts w:ascii="Arial" w:hAnsi="Arial" w:cs="Arial"/>
          <w:color w:val="002060"/>
        </w:rPr>
        <w:t>Gross State Product</w:t>
      </w:r>
      <w:r w:rsidR="000A71E8" w:rsidRPr="0099632B">
        <w:rPr>
          <w:rFonts w:ascii="Arial" w:hAnsi="Arial" w:cs="Arial"/>
          <w:color w:val="002060"/>
        </w:rPr>
        <w:t xml:space="preserve"> </w:t>
      </w:r>
      <w:r w:rsidR="00374030" w:rsidRPr="0099632B">
        <w:rPr>
          <w:rFonts w:ascii="Arial" w:hAnsi="Arial" w:cs="Arial"/>
          <w:color w:val="002060"/>
        </w:rPr>
        <w:t>–</w:t>
      </w:r>
      <w:r w:rsidR="000A71E8" w:rsidRPr="0099632B">
        <w:rPr>
          <w:rFonts w:ascii="Arial" w:hAnsi="Arial" w:cs="Arial"/>
          <w:color w:val="002060"/>
        </w:rPr>
        <w:t xml:space="preserve"> </w:t>
      </w:r>
      <w:r w:rsidR="00374030" w:rsidRPr="0099632B">
        <w:rPr>
          <w:rFonts w:ascii="Arial" w:hAnsi="Arial" w:cs="Arial"/>
          <w:color w:val="002060"/>
        </w:rPr>
        <w:t>contribution by state/ territory</w:t>
      </w:r>
      <w:bookmarkEnd w:id="48"/>
      <w:r w:rsidR="00374030" w:rsidRPr="0099632B">
        <w:rPr>
          <w:rFonts w:ascii="Arial" w:hAnsi="Arial" w:cs="Arial"/>
          <w:color w:val="002060"/>
        </w:rPr>
        <w:t xml:space="preserve"> </w:t>
      </w:r>
    </w:p>
    <w:p w14:paraId="73ECF7A5" w14:textId="77777777" w:rsidR="00986705" w:rsidRPr="0099632B" w:rsidRDefault="00986705" w:rsidP="00986705">
      <w:pPr>
        <w:pStyle w:val="ListParagraph"/>
        <w:ind w:left="360"/>
        <w:rPr>
          <w:rFonts w:ascii="Arial" w:hAnsi="Arial" w:cs="Arial"/>
          <w:sz w:val="8"/>
          <w:szCs w:val="8"/>
        </w:rPr>
      </w:pPr>
    </w:p>
    <w:p w14:paraId="62D83F56" w14:textId="72F3A7FF" w:rsidR="00986705" w:rsidRPr="0099632B" w:rsidRDefault="00986705" w:rsidP="00F62BD4">
      <w:pPr>
        <w:pStyle w:val="ListParagraph"/>
        <w:numPr>
          <w:ilvl w:val="0"/>
          <w:numId w:val="8"/>
        </w:numPr>
        <w:rPr>
          <w:rFonts w:ascii="Arial" w:hAnsi="Arial" w:cs="Arial"/>
          <w:sz w:val="23"/>
          <w:szCs w:val="23"/>
        </w:rPr>
      </w:pPr>
      <w:r w:rsidRPr="0099632B">
        <w:rPr>
          <w:rFonts w:ascii="Arial" w:hAnsi="Arial" w:cs="Arial"/>
          <w:sz w:val="23"/>
          <w:szCs w:val="23"/>
        </w:rPr>
        <w:t>The contribution of tourism GSP and filled jobs in Victoria to the overall economy has increased from 2022-23 although remains below 2018-19 levels</w:t>
      </w:r>
      <w:r w:rsidR="00111D9E" w:rsidRPr="0099632B">
        <w:rPr>
          <w:rFonts w:ascii="Arial" w:hAnsi="Arial" w:cs="Arial"/>
          <w:sz w:val="23"/>
          <w:szCs w:val="23"/>
        </w:rPr>
        <w:t>.</w:t>
      </w:r>
      <w:r w:rsidRPr="0099632B">
        <w:rPr>
          <w:rFonts w:ascii="Arial" w:hAnsi="Arial" w:cs="Arial"/>
          <w:sz w:val="23"/>
          <w:szCs w:val="23"/>
        </w:rPr>
        <w:t xml:space="preserve"> </w:t>
      </w:r>
    </w:p>
    <w:p w14:paraId="4A8DDCAA" w14:textId="77777777" w:rsidR="00501B5F" w:rsidRPr="0099632B" w:rsidRDefault="00F62BD4" w:rsidP="00501B5F">
      <w:pPr>
        <w:pStyle w:val="ListParagraph"/>
        <w:numPr>
          <w:ilvl w:val="0"/>
          <w:numId w:val="8"/>
        </w:numPr>
        <w:rPr>
          <w:rFonts w:ascii="Arial" w:hAnsi="Arial" w:cs="Arial"/>
          <w:sz w:val="23"/>
          <w:szCs w:val="23"/>
        </w:rPr>
      </w:pPr>
      <w:r w:rsidRPr="0099632B">
        <w:rPr>
          <w:rFonts w:ascii="Arial" w:hAnsi="Arial" w:cs="Arial"/>
          <w:sz w:val="23"/>
          <w:szCs w:val="23"/>
        </w:rPr>
        <w:t xml:space="preserve">Victoria’s tourism industry contributed 5.9% to the state’s economy in GSP. This represents an increase of 0.4% points compared to 2022-23 but was 0.4% points below 2018-19 estimates. </w:t>
      </w:r>
    </w:p>
    <w:p w14:paraId="1A37CF6D" w14:textId="485D9E47" w:rsidR="00F62BD4" w:rsidRPr="0099632B" w:rsidRDefault="00F62BD4" w:rsidP="00501B5F">
      <w:pPr>
        <w:pStyle w:val="ListParagraph"/>
        <w:numPr>
          <w:ilvl w:val="0"/>
          <w:numId w:val="8"/>
        </w:numPr>
        <w:rPr>
          <w:rFonts w:ascii="Arial" w:hAnsi="Arial" w:cs="Arial"/>
          <w:sz w:val="23"/>
          <w:szCs w:val="23"/>
        </w:rPr>
      </w:pPr>
      <w:r w:rsidRPr="0099632B">
        <w:rPr>
          <w:rFonts w:ascii="Arial" w:hAnsi="Arial" w:cs="Arial"/>
          <w:sz w:val="23"/>
          <w:szCs w:val="23"/>
        </w:rPr>
        <w:t>Tasmania made the greatest contribution to its state’s GSP at 10.8% in 2023-24, reflecting its high reliance on the sector. This was followed by the Northern Territory (9.1%), Queensland (7.4%) and South Australia (6.4%).</w:t>
      </w:r>
    </w:p>
    <w:p w14:paraId="1223F7A9" w14:textId="77777777" w:rsidR="00F62BD4" w:rsidRPr="0099632B" w:rsidRDefault="00F62BD4" w:rsidP="00F62BD4">
      <w:pPr>
        <w:pStyle w:val="ListParagraph"/>
        <w:numPr>
          <w:ilvl w:val="0"/>
          <w:numId w:val="8"/>
        </w:numPr>
        <w:rPr>
          <w:rFonts w:ascii="Arial" w:hAnsi="Arial" w:cs="Arial"/>
          <w:sz w:val="23"/>
          <w:szCs w:val="23"/>
        </w:rPr>
      </w:pPr>
      <w:r w:rsidRPr="0099632B">
        <w:rPr>
          <w:rFonts w:ascii="Arial" w:hAnsi="Arial" w:cs="Arial"/>
          <w:sz w:val="23"/>
          <w:szCs w:val="23"/>
        </w:rPr>
        <w:t xml:space="preserve">Tourism’s share of GSP in Victoria was on par with the national average and New South Wales (all at 5.9%), reflecting the more diverse nature of these economies. Western Australia's tourism industry contributed the least to GSP in 2023-24 at 3.5%. </w:t>
      </w:r>
    </w:p>
    <w:p w14:paraId="55A1820B" w14:textId="41EF3DD5" w:rsidR="00782688" w:rsidRPr="00B82E1F" w:rsidRDefault="00921421" w:rsidP="00F62BD4">
      <w:pPr>
        <w:pStyle w:val="Heading2"/>
        <w:spacing w:before="240" w:after="120"/>
        <w:rPr>
          <w:rFonts w:ascii="Arial" w:hAnsi="Arial" w:cs="Arial"/>
          <w:color w:val="002060"/>
        </w:rPr>
      </w:pPr>
      <w:bookmarkStart w:id="49" w:name="_Toc194938474"/>
      <w:r w:rsidRPr="00B82E1F">
        <w:rPr>
          <w:rFonts w:ascii="Arial" w:hAnsi="Arial" w:cs="Arial"/>
          <w:color w:val="002060"/>
        </w:rPr>
        <w:t>8.</w:t>
      </w:r>
      <w:r w:rsidR="00987412" w:rsidRPr="00B82E1F">
        <w:rPr>
          <w:rFonts w:ascii="Arial" w:hAnsi="Arial" w:cs="Arial"/>
          <w:color w:val="002060"/>
        </w:rPr>
        <w:t>6</w:t>
      </w:r>
      <w:r w:rsidRPr="00B82E1F">
        <w:rPr>
          <w:rFonts w:ascii="Arial" w:hAnsi="Arial" w:cs="Arial"/>
          <w:color w:val="002060"/>
        </w:rPr>
        <w:t xml:space="preserve"> </w:t>
      </w:r>
      <w:r w:rsidR="00827E20" w:rsidRPr="00B82E1F">
        <w:rPr>
          <w:rFonts w:ascii="Arial" w:hAnsi="Arial" w:cs="Arial"/>
          <w:color w:val="002060"/>
        </w:rPr>
        <w:t>Data table</w:t>
      </w:r>
      <w:bookmarkEnd w:id="49"/>
    </w:p>
    <w:p w14:paraId="5615BF39" w14:textId="35A9BD37" w:rsidR="00DF3881" w:rsidRPr="0099632B" w:rsidRDefault="00921421" w:rsidP="00313271">
      <w:pPr>
        <w:pStyle w:val="Heading3"/>
        <w:spacing w:before="120" w:after="120"/>
        <w:rPr>
          <w:rFonts w:ascii="Arial" w:hAnsi="Arial" w:cs="Arial"/>
        </w:rPr>
      </w:pPr>
      <w:r w:rsidRPr="00B82E1F">
        <w:rPr>
          <w:rFonts w:ascii="Arial" w:hAnsi="Arial" w:cs="Arial"/>
          <w:color w:val="002060"/>
        </w:rPr>
        <w:t>8.</w:t>
      </w:r>
      <w:r w:rsidR="00987412" w:rsidRPr="00B82E1F">
        <w:rPr>
          <w:rFonts w:ascii="Arial" w:hAnsi="Arial" w:cs="Arial"/>
          <w:color w:val="002060"/>
        </w:rPr>
        <w:t>6</w:t>
      </w:r>
      <w:r w:rsidRPr="00B82E1F">
        <w:rPr>
          <w:rFonts w:ascii="Arial" w:hAnsi="Arial" w:cs="Arial"/>
          <w:color w:val="002060"/>
        </w:rPr>
        <w:t xml:space="preserve">.1 </w:t>
      </w:r>
      <w:r w:rsidR="00142E69" w:rsidRPr="0099632B">
        <w:rPr>
          <w:rFonts w:ascii="Arial" w:eastAsiaTheme="minorHAnsi" w:hAnsi="Arial" w:cs="Arial"/>
          <w:color w:val="002060"/>
        </w:rPr>
        <w:t>Percentage</w:t>
      </w:r>
      <w:r w:rsidR="005516D8" w:rsidRPr="0099632B">
        <w:rPr>
          <w:rFonts w:ascii="Arial" w:hAnsi="Arial" w:cs="Arial"/>
          <w:color w:val="002060"/>
        </w:rPr>
        <w:t xml:space="preserve"> contribution </w:t>
      </w:r>
      <w:r w:rsidR="00A75381" w:rsidRPr="0099632B">
        <w:rPr>
          <w:rFonts w:ascii="Arial" w:hAnsi="Arial" w:cs="Arial"/>
          <w:color w:val="002060"/>
        </w:rPr>
        <w:t xml:space="preserve">of </w:t>
      </w:r>
      <w:r w:rsidR="0082548C" w:rsidRPr="0099632B">
        <w:rPr>
          <w:rFonts w:ascii="Arial" w:hAnsi="Arial" w:cs="Arial"/>
          <w:color w:val="002060"/>
        </w:rPr>
        <w:t>total</w:t>
      </w:r>
      <w:r w:rsidR="005516D8" w:rsidRPr="0099632B">
        <w:rPr>
          <w:rFonts w:ascii="Arial" w:hAnsi="Arial" w:cs="Arial"/>
          <w:color w:val="002060"/>
        </w:rPr>
        <w:t xml:space="preserve"> GSP </w:t>
      </w:r>
      <w:r w:rsidR="0082548C" w:rsidRPr="0099632B">
        <w:rPr>
          <w:rFonts w:ascii="Arial" w:hAnsi="Arial" w:cs="Arial"/>
          <w:color w:val="002060"/>
        </w:rPr>
        <w:t>to each jurisdiction</w:t>
      </w:r>
      <w:r w:rsidR="00756841" w:rsidRPr="0099632B">
        <w:rPr>
          <w:rFonts w:ascii="Arial" w:hAnsi="Arial" w:cs="Arial"/>
          <w:color w:val="002060"/>
        </w:rPr>
        <w:t xml:space="preserve"> in 2023-24</w:t>
      </w:r>
    </w:p>
    <w:tbl>
      <w:tblPr>
        <w:tblStyle w:val="TableGrid"/>
        <w:tblpPr w:leftFromText="180" w:rightFromText="180" w:vertAnchor="text" w:horzAnchor="margin" w:tblpY="136"/>
        <w:tblW w:w="8642" w:type="dxa"/>
        <w:tblLook w:val="04A0" w:firstRow="1" w:lastRow="0" w:firstColumn="1" w:lastColumn="0" w:noHBand="0" w:noVBand="1"/>
      </w:tblPr>
      <w:tblGrid>
        <w:gridCol w:w="4390"/>
        <w:gridCol w:w="4252"/>
      </w:tblGrid>
      <w:tr w:rsidR="005C4B8D" w:rsidRPr="0099632B" w14:paraId="4548F8C6" w14:textId="77777777" w:rsidTr="0019717B">
        <w:trPr>
          <w:trHeight w:val="340"/>
          <w:tblHeader/>
        </w:trPr>
        <w:tc>
          <w:tcPr>
            <w:tcW w:w="4390" w:type="dxa"/>
            <w:tcBorders>
              <w:bottom w:val="nil"/>
            </w:tcBorders>
            <w:shd w:val="clear" w:color="auto" w:fill="E7E6E6" w:themeFill="background2"/>
          </w:tcPr>
          <w:p w14:paraId="1622297B" w14:textId="77777777" w:rsidR="005C4B8D" w:rsidRPr="0099632B" w:rsidRDefault="005C4B8D" w:rsidP="005C4B8D">
            <w:pPr>
              <w:ind w:left="173"/>
              <w:rPr>
                <w:rFonts w:ascii="Arial" w:hAnsi="Arial" w:cs="Arial"/>
                <w:b/>
                <w:bCs/>
              </w:rPr>
            </w:pPr>
            <w:bookmarkStart w:id="50" w:name="Title_12" w:colFirst="0" w:colLast="0"/>
            <w:r w:rsidRPr="0099632B">
              <w:rPr>
                <w:rFonts w:ascii="Arial" w:hAnsi="Arial" w:cs="Arial"/>
                <w:b/>
                <w:bCs/>
              </w:rPr>
              <w:t>State/ territory</w:t>
            </w:r>
          </w:p>
        </w:tc>
        <w:tc>
          <w:tcPr>
            <w:tcW w:w="4252" w:type="dxa"/>
            <w:tcBorders>
              <w:bottom w:val="nil"/>
            </w:tcBorders>
            <w:shd w:val="clear" w:color="auto" w:fill="E7E6E6" w:themeFill="background2"/>
          </w:tcPr>
          <w:p w14:paraId="379E0C41" w14:textId="77777777" w:rsidR="005C4B8D" w:rsidRPr="0099632B" w:rsidRDefault="005C4B8D" w:rsidP="005C4B8D">
            <w:pPr>
              <w:ind w:left="173"/>
              <w:rPr>
                <w:rFonts w:ascii="Arial" w:hAnsi="Arial" w:cs="Arial"/>
                <w:b/>
                <w:bCs/>
              </w:rPr>
            </w:pPr>
            <w:r w:rsidRPr="0099632B">
              <w:rPr>
                <w:rFonts w:ascii="Arial" w:hAnsi="Arial" w:cs="Arial"/>
                <w:b/>
                <w:bCs/>
              </w:rPr>
              <w:t>% contribution to Gross State Product</w:t>
            </w:r>
          </w:p>
        </w:tc>
      </w:tr>
      <w:bookmarkEnd w:id="50"/>
      <w:tr w:rsidR="00767855" w:rsidRPr="0099632B" w14:paraId="3192DB43" w14:textId="77777777" w:rsidTr="0019717B">
        <w:trPr>
          <w:trHeight w:val="340"/>
        </w:trPr>
        <w:tc>
          <w:tcPr>
            <w:tcW w:w="4390" w:type="dxa"/>
            <w:shd w:val="clear" w:color="auto" w:fill="E7E6E6" w:themeFill="background2"/>
          </w:tcPr>
          <w:p w14:paraId="1B7C91A2" w14:textId="77777777" w:rsidR="00767855" w:rsidRPr="0099632B" w:rsidRDefault="00767855" w:rsidP="00767855">
            <w:pPr>
              <w:ind w:left="173"/>
              <w:rPr>
                <w:rFonts w:ascii="Arial" w:hAnsi="Arial" w:cs="Arial"/>
              </w:rPr>
            </w:pPr>
            <w:r w:rsidRPr="0099632B">
              <w:rPr>
                <w:rFonts w:ascii="Arial" w:hAnsi="Arial" w:cs="Arial"/>
              </w:rPr>
              <w:t>Victoria</w:t>
            </w:r>
          </w:p>
        </w:tc>
        <w:tc>
          <w:tcPr>
            <w:tcW w:w="4252" w:type="dxa"/>
          </w:tcPr>
          <w:p w14:paraId="14EBB531" w14:textId="30AD5685" w:rsidR="00767855" w:rsidRPr="0099632B" w:rsidRDefault="00767855" w:rsidP="00767855">
            <w:pPr>
              <w:ind w:left="173"/>
              <w:rPr>
                <w:rFonts w:ascii="Arial" w:hAnsi="Arial" w:cs="Arial"/>
              </w:rPr>
            </w:pPr>
            <w:r w:rsidRPr="0099632B">
              <w:rPr>
                <w:rFonts w:ascii="Arial" w:hAnsi="Arial" w:cs="Arial"/>
              </w:rPr>
              <w:t>5.</w:t>
            </w:r>
            <w:r w:rsidR="00986705" w:rsidRPr="0099632B">
              <w:rPr>
                <w:rFonts w:ascii="Arial" w:hAnsi="Arial" w:cs="Arial"/>
              </w:rPr>
              <w:t>9</w:t>
            </w:r>
            <w:r w:rsidRPr="0099632B">
              <w:rPr>
                <w:rFonts w:ascii="Arial" w:hAnsi="Arial" w:cs="Arial"/>
              </w:rPr>
              <w:t>%</w:t>
            </w:r>
          </w:p>
        </w:tc>
      </w:tr>
      <w:tr w:rsidR="00767855" w:rsidRPr="0099632B" w14:paraId="43C6598A" w14:textId="77777777" w:rsidTr="0019717B">
        <w:trPr>
          <w:trHeight w:val="340"/>
        </w:trPr>
        <w:tc>
          <w:tcPr>
            <w:tcW w:w="4390" w:type="dxa"/>
            <w:shd w:val="clear" w:color="auto" w:fill="E7E6E6" w:themeFill="background2"/>
          </w:tcPr>
          <w:p w14:paraId="69F27799" w14:textId="77777777" w:rsidR="00767855" w:rsidRPr="0099632B" w:rsidRDefault="00767855" w:rsidP="00767855">
            <w:pPr>
              <w:ind w:left="173"/>
              <w:rPr>
                <w:rFonts w:ascii="Arial" w:hAnsi="Arial" w:cs="Arial"/>
              </w:rPr>
            </w:pPr>
            <w:r w:rsidRPr="0099632B">
              <w:rPr>
                <w:rFonts w:ascii="Arial" w:hAnsi="Arial" w:cs="Arial"/>
              </w:rPr>
              <w:t>New South Wales</w:t>
            </w:r>
          </w:p>
        </w:tc>
        <w:tc>
          <w:tcPr>
            <w:tcW w:w="4252" w:type="dxa"/>
          </w:tcPr>
          <w:p w14:paraId="15E315C1" w14:textId="2D678809" w:rsidR="00767855" w:rsidRPr="0099632B" w:rsidRDefault="00986705" w:rsidP="00767855">
            <w:pPr>
              <w:ind w:left="173"/>
              <w:rPr>
                <w:rFonts w:ascii="Arial" w:hAnsi="Arial" w:cs="Arial"/>
              </w:rPr>
            </w:pPr>
            <w:r w:rsidRPr="0099632B">
              <w:rPr>
                <w:rFonts w:ascii="Arial" w:hAnsi="Arial" w:cs="Arial"/>
              </w:rPr>
              <w:t>5</w:t>
            </w:r>
            <w:r w:rsidR="00767855" w:rsidRPr="0099632B">
              <w:rPr>
                <w:rFonts w:ascii="Arial" w:hAnsi="Arial" w:cs="Arial"/>
              </w:rPr>
              <w:t>.9%</w:t>
            </w:r>
          </w:p>
        </w:tc>
      </w:tr>
      <w:tr w:rsidR="00767855" w:rsidRPr="0099632B" w14:paraId="263BCA13" w14:textId="77777777" w:rsidTr="0019717B">
        <w:trPr>
          <w:trHeight w:val="340"/>
        </w:trPr>
        <w:tc>
          <w:tcPr>
            <w:tcW w:w="4390" w:type="dxa"/>
            <w:shd w:val="clear" w:color="auto" w:fill="E7E6E6" w:themeFill="background2"/>
          </w:tcPr>
          <w:p w14:paraId="2B65E777" w14:textId="77777777" w:rsidR="00767855" w:rsidRPr="0099632B" w:rsidRDefault="00767855" w:rsidP="00767855">
            <w:pPr>
              <w:ind w:left="173"/>
              <w:rPr>
                <w:rFonts w:ascii="Arial" w:hAnsi="Arial" w:cs="Arial"/>
              </w:rPr>
            </w:pPr>
            <w:r w:rsidRPr="0099632B">
              <w:rPr>
                <w:rFonts w:ascii="Arial" w:hAnsi="Arial" w:cs="Arial"/>
              </w:rPr>
              <w:t>Queensland</w:t>
            </w:r>
          </w:p>
        </w:tc>
        <w:tc>
          <w:tcPr>
            <w:tcW w:w="4252" w:type="dxa"/>
          </w:tcPr>
          <w:p w14:paraId="7F6D7C05" w14:textId="07542B26" w:rsidR="00767855" w:rsidRPr="0099632B" w:rsidRDefault="00986705" w:rsidP="00767855">
            <w:pPr>
              <w:ind w:left="173"/>
              <w:rPr>
                <w:rFonts w:ascii="Arial" w:hAnsi="Arial" w:cs="Arial"/>
              </w:rPr>
            </w:pPr>
            <w:r w:rsidRPr="0099632B">
              <w:rPr>
                <w:rFonts w:ascii="Arial" w:hAnsi="Arial" w:cs="Arial"/>
              </w:rPr>
              <w:t>7.4</w:t>
            </w:r>
            <w:r w:rsidR="00767855" w:rsidRPr="0099632B">
              <w:rPr>
                <w:rFonts w:ascii="Arial" w:hAnsi="Arial" w:cs="Arial"/>
              </w:rPr>
              <w:t>%</w:t>
            </w:r>
          </w:p>
        </w:tc>
      </w:tr>
      <w:tr w:rsidR="00767855" w:rsidRPr="0099632B" w14:paraId="49616451" w14:textId="77777777" w:rsidTr="0019717B">
        <w:trPr>
          <w:trHeight w:val="340"/>
        </w:trPr>
        <w:tc>
          <w:tcPr>
            <w:tcW w:w="4390" w:type="dxa"/>
            <w:shd w:val="clear" w:color="auto" w:fill="E7E6E6" w:themeFill="background2"/>
          </w:tcPr>
          <w:p w14:paraId="5EC3F0ED" w14:textId="77777777" w:rsidR="00767855" w:rsidRPr="0099632B" w:rsidRDefault="00767855" w:rsidP="00767855">
            <w:pPr>
              <w:ind w:left="173"/>
              <w:rPr>
                <w:rFonts w:ascii="Arial" w:hAnsi="Arial" w:cs="Arial"/>
              </w:rPr>
            </w:pPr>
            <w:r w:rsidRPr="0099632B">
              <w:rPr>
                <w:rFonts w:ascii="Arial" w:hAnsi="Arial" w:cs="Arial"/>
              </w:rPr>
              <w:t>South Australia</w:t>
            </w:r>
          </w:p>
        </w:tc>
        <w:tc>
          <w:tcPr>
            <w:tcW w:w="4252" w:type="dxa"/>
          </w:tcPr>
          <w:p w14:paraId="1DFE8C84" w14:textId="6E296213" w:rsidR="00767855" w:rsidRPr="0099632B" w:rsidRDefault="00986705" w:rsidP="00767855">
            <w:pPr>
              <w:ind w:left="173"/>
              <w:rPr>
                <w:rFonts w:ascii="Arial" w:hAnsi="Arial" w:cs="Arial"/>
              </w:rPr>
            </w:pPr>
            <w:r w:rsidRPr="0099632B">
              <w:rPr>
                <w:rFonts w:ascii="Arial" w:hAnsi="Arial" w:cs="Arial"/>
              </w:rPr>
              <w:t>6.4</w:t>
            </w:r>
            <w:r w:rsidR="00767855" w:rsidRPr="0099632B">
              <w:rPr>
                <w:rFonts w:ascii="Arial" w:hAnsi="Arial" w:cs="Arial"/>
              </w:rPr>
              <w:t>%</w:t>
            </w:r>
          </w:p>
        </w:tc>
      </w:tr>
      <w:tr w:rsidR="00767855" w:rsidRPr="0099632B" w14:paraId="4051C3A0" w14:textId="77777777" w:rsidTr="0019717B">
        <w:trPr>
          <w:trHeight w:val="340"/>
        </w:trPr>
        <w:tc>
          <w:tcPr>
            <w:tcW w:w="4390" w:type="dxa"/>
            <w:shd w:val="clear" w:color="auto" w:fill="E7E6E6" w:themeFill="background2"/>
          </w:tcPr>
          <w:p w14:paraId="38525264" w14:textId="77777777" w:rsidR="00767855" w:rsidRPr="0099632B" w:rsidRDefault="00767855" w:rsidP="00767855">
            <w:pPr>
              <w:ind w:left="173"/>
              <w:rPr>
                <w:rFonts w:ascii="Arial" w:hAnsi="Arial" w:cs="Arial"/>
              </w:rPr>
            </w:pPr>
            <w:r w:rsidRPr="0099632B">
              <w:rPr>
                <w:rFonts w:ascii="Arial" w:hAnsi="Arial" w:cs="Arial"/>
              </w:rPr>
              <w:t>Western Australia</w:t>
            </w:r>
          </w:p>
        </w:tc>
        <w:tc>
          <w:tcPr>
            <w:tcW w:w="4252" w:type="dxa"/>
          </w:tcPr>
          <w:p w14:paraId="492F8D6F" w14:textId="70880B18" w:rsidR="00767855" w:rsidRPr="0099632B" w:rsidRDefault="00767855" w:rsidP="00767855">
            <w:pPr>
              <w:ind w:left="173"/>
              <w:rPr>
                <w:rFonts w:ascii="Arial" w:hAnsi="Arial" w:cs="Arial"/>
              </w:rPr>
            </w:pPr>
            <w:r w:rsidRPr="0099632B">
              <w:rPr>
                <w:rFonts w:ascii="Arial" w:hAnsi="Arial" w:cs="Arial"/>
              </w:rPr>
              <w:t>3.</w:t>
            </w:r>
            <w:r w:rsidR="00986705" w:rsidRPr="0099632B">
              <w:rPr>
                <w:rFonts w:ascii="Arial" w:hAnsi="Arial" w:cs="Arial"/>
              </w:rPr>
              <w:t>5</w:t>
            </w:r>
            <w:r w:rsidRPr="0099632B">
              <w:rPr>
                <w:rFonts w:ascii="Arial" w:hAnsi="Arial" w:cs="Arial"/>
              </w:rPr>
              <w:t>%</w:t>
            </w:r>
          </w:p>
        </w:tc>
      </w:tr>
      <w:tr w:rsidR="00767855" w:rsidRPr="0099632B" w14:paraId="33750C8E" w14:textId="77777777" w:rsidTr="0019717B">
        <w:trPr>
          <w:trHeight w:val="340"/>
        </w:trPr>
        <w:tc>
          <w:tcPr>
            <w:tcW w:w="4390" w:type="dxa"/>
            <w:shd w:val="clear" w:color="auto" w:fill="E7E6E6" w:themeFill="background2"/>
          </w:tcPr>
          <w:p w14:paraId="1BCAA4F9" w14:textId="77777777" w:rsidR="00767855" w:rsidRPr="0099632B" w:rsidRDefault="00767855" w:rsidP="00767855">
            <w:pPr>
              <w:ind w:left="173"/>
              <w:rPr>
                <w:rFonts w:ascii="Arial" w:hAnsi="Arial" w:cs="Arial"/>
              </w:rPr>
            </w:pPr>
            <w:r w:rsidRPr="0099632B">
              <w:rPr>
                <w:rFonts w:ascii="Arial" w:hAnsi="Arial" w:cs="Arial"/>
              </w:rPr>
              <w:t>Tasmania</w:t>
            </w:r>
          </w:p>
        </w:tc>
        <w:tc>
          <w:tcPr>
            <w:tcW w:w="4252" w:type="dxa"/>
          </w:tcPr>
          <w:p w14:paraId="4827A1C0" w14:textId="50ADCAC3" w:rsidR="00767855" w:rsidRPr="0099632B" w:rsidRDefault="00986705" w:rsidP="00767855">
            <w:pPr>
              <w:ind w:left="173"/>
              <w:rPr>
                <w:rFonts w:ascii="Arial" w:hAnsi="Arial" w:cs="Arial"/>
              </w:rPr>
            </w:pPr>
            <w:r w:rsidRPr="0099632B">
              <w:rPr>
                <w:rFonts w:ascii="Arial" w:hAnsi="Arial" w:cs="Arial"/>
              </w:rPr>
              <w:t>10.8</w:t>
            </w:r>
            <w:r w:rsidR="00767855" w:rsidRPr="0099632B">
              <w:rPr>
                <w:rFonts w:ascii="Arial" w:hAnsi="Arial" w:cs="Arial"/>
              </w:rPr>
              <w:t>%</w:t>
            </w:r>
          </w:p>
        </w:tc>
      </w:tr>
      <w:tr w:rsidR="00767855" w:rsidRPr="0099632B" w14:paraId="3876B728" w14:textId="77777777" w:rsidTr="0019717B">
        <w:trPr>
          <w:trHeight w:val="340"/>
        </w:trPr>
        <w:tc>
          <w:tcPr>
            <w:tcW w:w="4390" w:type="dxa"/>
            <w:shd w:val="clear" w:color="auto" w:fill="E7E6E6" w:themeFill="background2"/>
          </w:tcPr>
          <w:p w14:paraId="2C6F7A34" w14:textId="77777777" w:rsidR="00767855" w:rsidRPr="0099632B" w:rsidRDefault="00767855" w:rsidP="00767855">
            <w:pPr>
              <w:ind w:left="173"/>
              <w:rPr>
                <w:rFonts w:ascii="Arial" w:hAnsi="Arial" w:cs="Arial"/>
              </w:rPr>
            </w:pPr>
            <w:r w:rsidRPr="0099632B">
              <w:rPr>
                <w:rFonts w:ascii="Arial" w:hAnsi="Arial" w:cs="Arial"/>
              </w:rPr>
              <w:t>Northern Territory</w:t>
            </w:r>
          </w:p>
        </w:tc>
        <w:tc>
          <w:tcPr>
            <w:tcW w:w="4252" w:type="dxa"/>
          </w:tcPr>
          <w:p w14:paraId="4BAFF5D5" w14:textId="12E51D94" w:rsidR="00767855" w:rsidRPr="0099632B" w:rsidRDefault="00986705" w:rsidP="00767855">
            <w:pPr>
              <w:ind w:left="173"/>
              <w:rPr>
                <w:rFonts w:ascii="Arial" w:hAnsi="Arial" w:cs="Arial"/>
              </w:rPr>
            </w:pPr>
            <w:r w:rsidRPr="0099632B">
              <w:rPr>
                <w:rFonts w:ascii="Arial" w:hAnsi="Arial" w:cs="Arial"/>
              </w:rPr>
              <w:t>9</w:t>
            </w:r>
            <w:r w:rsidR="00767855" w:rsidRPr="0099632B">
              <w:rPr>
                <w:rFonts w:ascii="Arial" w:hAnsi="Arial" w:cs="Arial"/>
              </w:rPr>
              <w:t>.1%</w:t>
            </w:r>
          </w:p>
        </w:tc>
      </w:tr>
      <w:tr w:rsidR="00767855" w:rsidRPr="0099632B" w14:paraId="2497E1F1" w14:textId="77777777" w:rsidTr="0019717B">
        <w:trPr>
          <w:trHeight w:val="340"/>
        </w:trPr>
        <w:tc>
          <w:tcPr>
            <w:tcW w:w="4390" w:type="dxa"/>
            <w:shd w:val="clear" w:color="auto" w:fill="E7E6E6" w:themeFill="background2"/>
          </w:tcPr>
          <w:p w14:paraId="3D5D5E03" w14:textId="06749798" w:rsidR="00767855" w:rsidRPr="0099632B" w:rsidRDefault="0099632B" w:rsidP="00767855">
            <w:pPr>
              <w:ind w:left="173"/>
              <w:rPr>
                <w:rFonts w:ascii="Arial" w:hAnsi="Arial" w:cs="Arial"/>
              </w:rPr>
            </w:pPr>
            <w:r w:rsidRPr="0099632B">
              <w:rPr>
                <w:rFonts w:ascii="Arial" w:hAnsi="Arial" w:cs="Arial"/>
              </w:rPr>
              <w:t>Australian Capital Territory</w:t>
            </w:r>
          </w:p>
        </w:tc>
        <w:tc>
          <w:tcPr>
            <w:tcW w:w="4252" w:type="dxa"/>
          </w:tcPr>
          <w:p w14:paraId="41EC62D2" w14:textId="4477528E" w:rsidR="00767855" w:rsidRPr="0099632B" w:rsidRDefault="00767855" w:rsidP="00767855">
            <w:pPr>
              <w:ind w:left="173"/>
              <w:rPr>
                <w:rFonts w:ascii="Arial" w:hAnsi="Arial" w:cs="Arial"/>
              </w:rPr>
            </w:pPr>
            <w:r w:rsidRPr="0099632B">
              <w:rPr>
                <w:rFonts w:ascii="Arial" w:hAnsi="Arial" w:cs="Arial"/>
              </w:rPr>
              <w:t>5.</w:t>
            </w:r>
            <w:r w:rsidR="00986705" w:rsidRPr="0099632B">
              <w:rPr>
                <w:rFonts w:ascii="Arial" w:hAnsi="Arial" w:cs="Arial"/>
              </w:rPr>
              <w:t>8</w:t>
            </w:r>
            <w:r w:rsidRPr="0099632B">
              <w:rPr>
                <w:rFonts w:ascii="Arial" w:hAnsi="Arial" w:cs="Arial"/>
              </w:rPr>
              <w:t>%</w:t>
            </w:r>
          </w:p>
        </w:tc>
      </w:tr>
      <w:tr w:rsidR="00767855" w:rsidRPr="0099632B" w14:paraId="284704BF" w14:textId="77777777" w:rsidTr="0019717B">
        <w:trPr>
          <w:trHeight w:val="340"/>
        </w:trPr>
        <w:tc>
          <w:tcPr>
            <w:tcW w:w="4390" w:type="dxa"/>
            <w:shd w:val="clear" w:color="auto" w:fill="E7E6E6" w:themeFill="background2"/>
          </w:tcPr>
          <w:p w14:paraId="71C3913F" w14:textId="77777777" w:rsidR="00767855" w:rsidRPr="0099632B" w:rsidRDefault="00767855" w:rsidP="00767855">
            <w:pPr>
              <w:ind w:left="173"/>
              <w:rPr>
                <w:rFonts w:ascii="Arial" w:hAnsi="Arial" w:cs="Arial"/>
              </w:rPr>
            </w:pPr>
            <w:r w:rsidRPr="0099632B">
              <w:rPr>
                <w:rFonts w:ascii="Arial" w:hAnsi="Arial" w:cs="Arial"/>
              </w:rPr>
              <w:t>Australia</w:t>
            </w:r>
          </w:p>
        </w:tc>
        <w:tc>
          <w:tcPr>
            <w:tcW w:w="4252" w:type="dxa"/>
          </w:tcPr>
          <w:p w14:paraId="76A80EA7" w14:textId="1079F110" w:rsidR="00767855" w:rsidRPr="0099632B" w:rsidRDefault="00767855" w:rsidP="00767855">
            <w:pPr>
              <w:ind w:left="173"/>
              <w:rPr>
                <w:rFonts w:ascii="Arial" w:hAnsi="Arial" w:cs="Arial"/>
              </w:rPr>
            </w:pPr>
            <w:r w:rsidRPr="0099632B">
              <w:rPr>
                <w:rFonts w:ascii="Arial" w:hAnsi="Arial" w:cs="Arial"/>
              </w:rPr>
              <w:t>5.</w:t>
            </w:r>
            <w:r w:rsidR="00986705" w:rsidRPr="0099632B">
              <w:rPr>
                <w:rFonts w:ascii="Arial" w:hAnsi="Arial" w:cs="Arial"/>
              </w:rPr>
              <w:t>9</w:t>
            </w:r>
            <w:r w:rsidRPr="0099632B">
              <w:rPr>
                <w:rFonts w:ascii="Arial" w:hAnsi="Arial" w:cs="Arial"/>
              </w:rPr>
              <w:t>%</w:t>
            </w:r>
          </w:p>
        </w:tc>
      </w:tr>
    </w:tbl>
    <w:p w14:paraId="3E43A150" w14:textId="77777777" w:rsidR="0035675C" w:rsidRPr="0099632B" w:rsidRDefault="0035675C" w:rsidP="0026546D">
      <w:pPr>
        <w:rPr>
          <w:rFonts w:ascii="Arial" w:hAnsi="Arial" w:cs="Arial"/>
          <w:b/>
          <w:bCs/>
          <w:sz w:val="32"/>
          <w:szCs w:val="32"/>
        </w:rPr>
      </w:pPr>
    </w:p>
    <w:p w14:paraId="0F85BDE8" w14:textId="77777777" w:rsidR="0035675C" w:rsidRPr="0099632B" w:rsidRDefault="0035675C" w:rsidP="0026546D">
      <w:pPr>
        <w:rPr>
          <w:rFonts w:ascii="Arial" w:hAnsi="Arial" w:cs="Arial"/>
          <w:b/>
          <w:bCs/>
          <w:sz w:val="32"/>
          <w:szCs w:val="32"/>
        </w:rPr>
      </w:pPr>
    </w:p>
    <w:p w14:paraId="43B99E88" w14:textId="77777777" w:rsidR="00002FD3" w:rsidRPr="0099632B" w:rsidRDefault="00002FD3" w:rsidP="0026546D">
      <w:pPr>
        <w:rPr>
          <w:rFonts w:ascii="Arial" w:hAnsi="Arial" w:cs="Arial"/>
          <w:b/>
          <w:bCs/>
          <w:sz w:val="32"/>
          <w:szCs w:val="32"/>
        </w:rPr>
      </w:pPr>
    </w:p>
    <w:p w14:paraId="2AA54F5D" w14:textId="77777777" w:rsidR="00002FD3" w:rsidRPr="0099632B" w:rsidRDefault="00002FD3" w:rsidP="0026546D">
      <w:pPr>
        <w:rPr>
          <w:rFonts w:ascii="Arial" w:hAnsi="Arial" w:cs="Arial"/>
          <w:b/>
          <w:bCs/>
          <w:sz w:val="32"/>
          <w:szCs w:val="32"/>
        </w:rPr>
      </w:pPr>
    </w:p>
    <w:p w14:paraId="75F08FF0" w14:textId="77777777" w:rsidR="00002FD3" w:rsidRPr="0099632B" w:rsidRDefault="00002FD3" w:rsidP="0026546D">
      <w:pPr>
        <w:rPr>
          <w:rFonts w:ascii="Arial" w:hAnsi="Arial" w:cs="Arial"/>
          <w:b/>
          <w:bCs/>
          <w:sz w:val="32"/>
          <w:szCs w:val="32"/>
        </w:rPr>
      </w:pPr>
    </w:p>
    <w:p w14:paraId="2D0E3FC2" w14:textId="77777777" w:rsidR="00002FD3" w:rsidRPr="0099632B" w:rsidRDefault="00002FD3" w:rsidP="0026546D">
      <w:pPr>
        <w:rPr>
          <w:rFonts w:ascii="Arial" w:hAnsi="Arial" w:cs="Arial"/>
          <w:b/>
          <w:bCs/>
          <w:sz w:val="32"/>
          <w:szCs w:val="32"/>
        </w:rPr>
      </w:pPr>
    </w:p>
    <w:p w14:paraId="0E4DF089" w14:textId="77777777" w:rsidR="00002FD3" w:rsidRPr="0099632B" w:rsidRDefault="00002FD3" w:rsidP="0026546D">
      <w:pPr>
        <w:rPr>
          <w:rFonts w:ascii="Arial" w:hAnsi="Arial" w:cs="Arial"/>
          <w:b/>
          <w:bCs/>
          <w:sz w:val="8"/>
          <w:szCs w:val="8"/>
        </w:rPr>
      </w:pPr>
    </w:p>
    <w:p w14:paraId="0B789AB9" w14:textId="156A0D6B" w:rsidR="0035675C" w:rsidRPr="0099632B" w:rsidRDefault="00921421" w:rsidP="00313271">
      <w:pPr>
        <w:pStyle w:val="Heading2"/>
        <w:spacing w:before="240"/>
        <w:rPr>
          <w:rFonts w:ascii="Arial" w:hAnsi="Arial" w:cs="Arial"/>
          <w:color w:val="002060"/>
        </w:rPr>
      </w:pPr>
      <w:bookmarkStart w:id="51" w:name="_Toc194938475"/>
      <w:r w:rsidRPr="0099632B">
        <w:rPr>
          <w:rFonts w:ascii="Arial" w:hAnsi="Arial" w:cs="Arial"/>
          <w:color w:val="002060"/>
        </w:rPr>
        <w:t>8.</w:t>
      </w:r>
      <w:r w:rsidR="00987412" w:rsidRPr="0099632B">
        <w:rPr>
          <w:rFonts w:ascii="Arial" w:hAnsi="Arial" w:cs="Arial"/>
          <w:color w:val="002060"/>
        </w:rPr>
        <w:t>7</w:t>
      </w:r>
      <w:r w:rsidRPr="0099632B">
        <w:rPr>
          <w:rFonts w:ascii="Arial" w:hAnsi="Arial" w:cs="Arial"/>
          <w:color w:val="002060"/>
        </w:rPr>
        <w:t xml:space="preserve"> </w:t>
      </w:r>
      <w:r w:rsidR="0035675C" w:rsidRPr="0099632B">
        <w:rPr>
          <w:rFonts w:ascii="Arial" w:hAnsi="Arial" w:cs="Arial"/>
          <w:color w:val="002060"/>
        </w:rPr>
        <w:t>Tourism filled jobs –</w:t>
      </w:r>
      <w:r w:rsidR="000A71E8" w:rsidRPr="0099632B">
        <w:rPr>
          <w:rFonts w:ascii="Arial" w:hAnsi="Arial" w:cs="Arial"/>
          <w:color w:val="002060"/>
        </w:rPr>
        <w:t xml:space="preserve"> </w:t>
      </w:r>
      <w:r w:rsidR="0035675C" w:rsidRPr="0099632B">
        <w:rPr>
          <w:rFonts w:ascii="Arial" w:hAnsi="Arial" w:cs="Arial"/>
          <w:color w:val="002060"/>
        </w:rPr>
        <w:t xml:space="preserve">contribution to </w:t>
      </w:r>
      <w:r w:rsidR="00DF3881" w:rsidRPr="0099632B">
        <w:rPr>
          <w:rFonts w:ascii="Arial" w:hAnsi="Arial" w:cs="Arial"/>
          <w:color w:val="002060"/>
        </w:rPr>
        <w:t xml:space="preserve">economy </w:t>
      </w:r>
      <w:r w:rsidR="0035675C" w:rsidRPr="0099632B">
        <w:rPr>
          <w:rFonts w:ascii="Arial" w:hAnsi="Arial" w:cs="Arial"/>
          <w:color w:val="002060"/>
        </w:rPr>
        <w:t>by state/ territory</w:t>
      </w:r>
      <w:bookmarkEnd w:id="51"/>
      <w:r w:rsidR="0035675C" w:rsidRPr="0099632B">
        <w:rPr>
          <w:rFonts w:ascii="Arial" w:hAnsi="Arial" w:cs="Arial"/>
          <w:color w:val="002060"/>
        </w:rPr>
        <w:t xml:space="preserve"> </w:t>
      </w:r>
    </w:p>
    <w:p w14:paraId="730FECDF" w14:textId="77777777" w:rsidR="008F0908" w:rsidRPr="0099632B" w:rsidRDefault="008F0908" w:rsidP="008F0908">
      <w:pPr>
        <w:rPr>
          <w:sz w:val="4"/>
          <w:szCs w:val="4"/>
        </w:rPr>
      </w:pPr>
    </w:p>
    <w:p w14:paraId="6E526ADE" w14:textId="100260E7" w:rsidR="00E14CBB" w:rsidRPr="0099632B" w:rsidRDefault="00E14CBB" w:rsidP="00E14CBB">
      <w:pPr>
        <w:pStyle w:val="ListParagraph"/>
        <w:numPr>
          <w:ilvl w:val="0"/>
          <w:numId w:val="8"/>
        </w:numPr>
        <w:rPr>
          <w:rFonts w:ascii="Arial" w:hAnsi="Arial" w:cs="Arial"/>
          <w:sz w:val="23"/>
          <w:szCs w:val="23"/>
        </w:rPr>
      </w:pPr>
      <w:r w:rsidRPr="0099632B">
        <w:rPr>
          <w:rFonts w:ascii="Arial" w:hAnsi="Arial" w:cs="Arial"/>
          <w:sz w:val="23"/>
          <w:szCs w:val="23"/>
        </w:rPr>
        <w:t>Victoria’s tourism industry contributed 7.1% to overall filled jobs in</w:t>
      </w:r>
      <w:r w:rsidR="008F0908" w:rsidRPr="0099632B">
        <w:rPr>
          <w:rFonts w:ascii="Arial" w:hAnsi="Arial" w:cs="Arial"/>
          <w:sz w:val="23"/>
          <w:szCs w:val="23"/>
        </w:rPr>
        <w:t xml:space="preserve"> </w:t>
      </w:r>
      <w:r w:rsidRPr="0099632B">
        <w:rPr>
          <w:rFonts w:ascii="Arial" w:hAnsi="Arial" w:cs="Arial"/>
          <w:sz w:val="23"/>
          <w:szCs w:val="23"/>
        </w:rPr>
        <w:t xml:space="preserve">2023-24, just below the national average rate (7.5%). Victoria has increased by 0.4% points from 2022-23, however was 0.4% points lower than 2018-19. </w:t>
      </w:r>
    </w:p>
    <w:p w14:paraId="6ADAC114" w14:textId="77777777" w:rsidR="00E14CBB" w:rsidRPr="0099632B" w:rsidRDefault="00E14CBB" w:rsidP="00E14CBB">
      <w:pPr>
        <w:pStyle w:val="ListParagraph"/>
        <w:numPr>
          <w:ilvl w:val="0"/>
          <w:numId w:val="8"/>
        </w:numPr>
        <w:rPr>
          <w:rFonts w:ascii="Arial" w:hAnsi="Arial" w:cs="Arial"/>
          <w:sz w:val="23"/>
          <w:szCs w:val="23"/>
        </w:rPr>
      </w:pPr>
      <w:r w:rsidRPr="0099632B">
        <w:rPr>
          <w:rFonts w:ascii="Arial" w:hAnsi="Arial" w:cs="Arial"/>
          <w:sz w:val="23"/>
          <w:szCs w:val="23"/>
        </w:rPr>
        <w:t>Tasmania's high reliance on the tourism industry is also reflected in tourism-filled jobs estimates, with the industry contributing 15.6% to overall filled jobs in the state in 2023-24.</w:t>
      </w:r>
    </w:p>
    <w:p w14:paraId="600192A3" w14:textId="652E14F9" w:rsidR="00B23D1C" w:rsidRPr="0099632B" w:rsidRDefault="00E14CBB" w:rsidP="00E14CBB">
      <w:pPr>
        <w:pStyle w:val="ListParagraph"/>
        <w:numPr>
          <w:ilvl w:val="0"/>
          <w:numId w:val="8"/>
        </w:numPr>
        <w:rPr>
          <w:rFonts w:ascii="Arial" w:hAnsi="Arial" w:cs="Arial"/>
          <w:sz w:val="23"/>
          <w:szCs w:val="23"/>
        </w:rPr>
      </w:pPr>
      <w:r w:rsidRPr="0099632B">
        <w:rPr>
          <w:rFonts w:ascii="Arial" w:hAnsi="Arial" w:cs="Arial"/>
          <w:sz w:val="23"/>
          <w:szCs w:val="23"/>
        </w:rPr>
        <w:t>Northern Territory’s tourism industry also comprises a high proportion of overall filled jobs (10.9%), followed by Queensland (8.8%) and ACT (7.9%), with New South Wales at 6.6%.</w:t>
      </w:r>
    </w:p>
    <w:p w14:paraId="5E2DD75D" w14:textId="0901E8AB" w:rsidR="00827E20" w:rsidRPr="00B82E1F" w:rsidRDefault="00921421" w:rsidP="00987412">
      <w:pPr>
        <w:pStyle w:val="Heading2"/>
        <w:spacing w:before="240" w:after="120"/>
        <w:rPr>
          <w:rFonts w:ascii="Arial" w:eastAsiaTheme="minorHAnsi" w:hAnsi="Arial" w:cs="Arial"/>
          <w:color w:val="002060"/>
        </w:rPr>
      </w:pPr>
      <w:bookmarkStart w:id="52" w:name="_Toc194938476"/>
      <w:r w:rsidRPr="00B82E1F">
        <w:rPr>
          <w:rFonts w:ascii="Arial" w:eastAsiaTheme="minorHAnsi" w:hAnsi="Arial" w:cs="Arial"/>
          <w:color w:val="002060"/>
        </w:rPr>
        <w:t>8.</w:t>
      </w:r>
      <w:r w:rsidR="00A71CCE" w:rsidRPr="00B82E1F">
        <w:rPr>
          <w:rFonts w:ascii="Arial" w:eastAsiaTheme="minorHAnsi" w:hAnsi="Arial" w:cs="Arial"/>
          <w:color w:val="002060"/>
        </w:rPr>
        <w:t xml:space="preserve">8 </w:t>
      </w:r>
      <w:r w:rsidR="00827E20" w:rsidRPr="00B82E1F">
        <w:rPr>
          <w:rFonts w:ascii="Arial" w:eastAsiaTheme="minorHAnsi" w:hAnsi="Arial" w:cs="Arial"/>
          <w:color w:val="002060"/>
        </w:rPr>
        <w:t>Data table</w:t>
      </w:r>
      <w:bookmarkEnd w:id="52"/>
    </w:p>
    <w:p w14:paraId="430EBFA4" w14:textId="74D10CB2" w:rsidR="005516D8" w:rsidRPr="0099632B" w:rsidRDefault="00A71CCE" w:rsidP="00313271">
      <w:pPr>
        <w:pStyle w:val="Heading3"/>
        <w:spacing w:before="240" w:after="120"/>
        <w:rPr>
          <w:rFonts w:ascii="Arial" w:eastAsiaTheme="minorHAnsi" w:hAnsi="Arial" w:cs="Arial"/>
          <w:color w:val="2F5496" w:themeColor="accent1" w:themeShade="BF"/>
        </w:rPr>
      </w:pPr>
      <w:r w:rsidRPr="00B82E1F">
        <w:rPr>
          <w:rFonts w:ascii="Arial" w:eastAsiaTheme="minorHAnsi" w:hAnsi="Arial" w:cs="Arial"/>
          <w:color w:val="002060"/>
        </w:rPr>
        <w:t xml:space="preserve">8.8.1 </w:t>
      </w:r>
      <w:r w:rsidR="00142E69" w:rsidRPr="00B82E1F">
        <w:rPr>
          <w:rFonts w:ascii="Arial" w:eastAsiaTheme="minorHAnsi" w:hAnsi="Arial" w:cs="Arial"/>
          <w:color w:val="002060"/>
        </w:rPr>
        <w:t>Percentage</w:t>
      </w:r>
      <w:r w:rsidR="005516D8" w:rsidRPr="00B82E1F">
        <w:rPr>
          <w:rFonts w:ascii="Arial" w:eastAsiaTheme="minorHAnsi" w:hAnsi="Arial" w:cs="Arial"/>
          <w:color w:val="002060"/>
        </w:rPr>
        <w:t xml:space="preserve"> contribution to </w:t>
      </w:r>
      <w:r w:rsidR="005516D8" w:rsidRPr="0099632B">
        <w:rPr>
          <w:rFonts w:ascii="Arial" w:eastAsiaTheme="minorHAnsi" w:hAnsi="Arial" w:cs="Arial"/>
          <w:color w:val="002060"/>
        </w:rPr>
        <w:t xml:space="preserve">tourism filled jobs </w:t>
      </w:r>
      <w:r w:rsidR="0082548C" w:rsidRPr="0099632B">
        <w:rPr>
          <w:rFonts w:ascii="Arial" w:hAnsi="Arial" w:cs="Arial"/>
          <w:color w:val="002060"/>
        </w:rPr>
        <w:t>to each jurisdiction</w:t>
      </w:r>
      <w:r w:rsidR="00756841" w:rsidRPr="0099632B">
        <w:rPr>
          <w:rFonts w:ascii="Arial" w:hAnsi="Arial" w:cs="Arial"/>
          <w:color w:val="002060"/>
        </w:rPr>
        <w:t xml:space="preserve"> in 2023-24</w:t>
      </w:r>
    </w:p>
    <w:tbl>
      <w:tblPr>
        <w:tblStyle w:val="TableGrid"/>
        <w:tblpPr w:leftFromText="180" w:rightFromText="180" w:vertAnchor="text" w:horzAnchor="margin" w:tblpX="-15" w:tblpY="166"/>
        <w:tblW w:w="8789" w:type="dxa"/>
        <w:tblLook w:val="04A0" w:firstRow="1" w:lastRow="0" w:firstColumn="1" w:lastColumn="0" w:noHBand="0" w:noVBand="1"/>
      </w:tblPr>
      <w:tblGrid>
        <w:gridCol w:w="4914"/>
        <w:gridCol w:w="3875"/>
      </w:tblGrid>
      <w:tr w:rsidR="0035675C" w:rsidRPr="0099632B" w14:paraId="44A568E7" w14:textId="77777777" w:rsidTr="000710FB">
        <w:trPr>
          <w:trHeight w:val="340"/>
          <w:tblHeader/>
        </w:trPr>
        <w:tc>
          <w:tcPr>
            <w:tcW w:w="4914" w:type="dxa"/>
            <w:tcBorders>
              <w:bottom w:val="nil"/>
            </w:tcBorders>
            <w:shd w:val="clear" w:color="auto" w:fill="E7E6E6" w:themeFill="background2"/>
          </w:tcPr>
          <w:p w14:paraId="560AB33F" w14:textId="77777777" w:rsidR="0035675C" w:rsidRPr="0099632B" w:rsidRDefault="0035675C" w:rsidP="002F5DF5">
            <w:pPr>
              <w:rPr>
                <w:rFonts w:ascii="Arial" w:hAnsi="Arial" w:cs="Arial"/>
                <w:b/>
                <w:bCs/>
              </w:rPr>
            </w:pPr>
            <w:bookmarkStart w:id="53" w:name="Title_13" w:colFirst="0" w:colLast="0"/>
            <w:r w:rsidRPr="0099632B">
              <w:rPr>
                <w:rFonts w:ascii="Arial" w:hAnsi="Arial" w:cs="Arial"/>
                <w:b/>
                <w:bCs/>
              </w:rPr>
              <w:t>State/ territory</w:t>
            </w:r>
          </w:p>
        </w:tc>
        <w:tc>
          <w:tcPr>
            <w:tcW w:w="3875" w:type="dxa"/>
            <w:tcBorders>
              <w:bottom w:val="nil"/>
            </w:tcBorders>
            <w:shd w:val="clear" w:color="auto" w:fill="E7E6E6" w:themeFill="background2"/>
          </w:tcPr>
          <w:p w14:paraId="738B5E16" w14:textId="7D7588D1" w:rsidR="0035675C" w:rsidRPr="0099632B" w:rsidRDefault="0035675C" w:rsidP="002F5DF5">
            <w:pPr>
              <w:rPr>
                <w:rFonts w:ascii="Arial" w:hAnsi="Arial" w:cs="Arial"/>
                <w:b/>
                <w:bCs/>
              </w:rPr>
            </w:pPr>
            <w:r w:rsidRPr="0099632B">
              <w:rPr>
                <w:rFonts w:ascii="Arial" w:hAnsi="Arial" w:cs="Arial"/>
                <w:b/>
                <w:bCs/>
              </w:rPr>
              <w:t xml:space="preserve">% contribution to </w:t>
            </w:r>
            <w:r w:rsidR="00806123" w:rsidRPr="0099632B">
              <w:rPr>
                <w:rFonts w:ascii="Arial" w:hAnsi="Arial" w:cs="Arial"/>
                <w:b/>
                <w:bCs/>
              </w:rPr>
              <w:t>tourism filled jobs</w:t>
            </w:r>
          </w:p>
        </w:tc>
      </w:tr>
      <w:bookmarkEnd w:id="53"/>
      <w:tr w:rsidR="008F67BD" w:rsidRPr="0099632B" w14:paraId="3B251753" w14:textId="77777777" w:rsidTr="00C12CA5">
        <w:trPr>
          <w:trHeight w:val="340"/>
        </w:trPr>
        <w:tc>
          <w:tcPr>
            <w:tcW w:w="4914" w:type="dxa"/>
            <w:shd w:val="clear" w:color="auto" w:fill="E7E6E6" w:themeFill="background2"/>
          </w:tcPr>
          <w:p w14:paraId="18B649F3" w14:textId="77777777" w:rsidR="008F67BD" w:rsidRPr="0099632B" w:rsidRDefault="008F67BD" w:rsidP="008F67BD">
            <w:pPr>
              <w:rPr>
                <w:rFonts w:ascii="Arial" w:hAnsi="Arial" w:cs="Arial"/>
              </w:rPr>
            </w:pPr>
            <w:r w:rsidRPr="0099632B">
              <w:rPr>
                <w:rFonts w:ascii="Arial" w:hAnsi="Arial" w:cs="Arial"/>
              </w:rPr>
              <w:t>Victoria</w:t>
            </w:r>
          </w:p>
        </w:tc>
        <w:tc>
          <w:tcPr>
            <w:tcW w:w="3875" w:type="dxa"/>
          </w:tcPr>
          <w:p w14:paraId="243FB590" w14:textId="237FE87A" w:rsidR="008F67BD" w:rsidRPr="0099632B" w:rsidRDefault="00E14CBB" w:rsidP="008F67BD">
            <w:pPr>
              <w:rPr>
                <w:rFonts w:ascii="Arial" w:hAnsi="Arial" w:cs="Arial"/>
              </w:rPr>
            </w:pPr>
            <w:r w:rsidRPr="0099632B">
              <w:rPr>
                <w:rFonts w:ascii="Arial" w:hAnsi="Arial" w:cs="Arial"/>
              </w:rPr>
              <w:t>7.1</w:t>
            </w:r>
            <w:r w:rsidR="008F67BD" w:rsidRPr="0099632B">
              <w:rPr>
                <w:rFonts w:ascii="Arial" w:hAnsi="Arial" w:cs="Arial"/>
              </w:rPr>
              <w:t>%</w:t>
            </w:r>
          </w:p>
        </w:tc>
      </w:tr>
      <w:tr w:rsidR="008F67BD" w:rsidRPr="0099632B" w14:paraId="2316FEE2" w14:textId="77777777" w:rsidTr="00C12CA5">
        <w:trPr>
          <w:trHeight w:val="340"/>
        </w:trPr>
        <w:tc>
          <w:tcPr>
            <w:tcW w:w="4914" w:type="dxa"/>
            <w:shd w:val="clear" w:color="auto" w:fill="E7E6E6" w:themeFill="background2"/>
          </w:tcPr>
          <w:p w14:paraId="18FCA5F8" w14:textId="77777777" w:rsidR="008F67BD" w:rsidRPr="0099632B" w:rsidRDefault="008F67BD" w:rsidP="008F67BD">
            <w:pPr>
              <w:rPr>
                <w:rFonts w:ascii="Arial" w:hAnsi="Arial" w:cs="Arial"/>
              </w:rPr>
            </w:pPr>
            <w:r w:rsidRPr="0099632B">
              <w:rPr>
                <w:rFonts w:ascii="Arial" w:hAnsi="Arial" w:cs="Arial"/>
              </w:rPr>
              <w:lastRenderedPageBreak/>
              <w:t>New South Wales</w:t>
            </w:r>
          </w:p>
        </w:tc>
        <w:tc>
          <w:tcPr>
            <w:tcW w:w="3875" w:type="dxa"/>
          </w:tcPr>
          <w:p w14:paraId="2F77D444" w14:textId="79DB9BCC" w:rsidR="008F67BD" w:rsidRPr="0099632B" w:rsidRDefault="008F67BD" w:rsidP="008F67BD">
            <w:pPr>
              <w:rPr>
                <w:rFonts w:ascii="Arial" w:hAnsi="Arial" w:cs="Arial"/>
              </w:rPr>
            </w:pPr>
            <w:r w:rsidRPr="0099632B">
              <w:rPr>
                <w:rFonts w:ascii="Arial" w:hAnsi="Arial" w:cs="Arial"/>
              </w:rPr>
              <w:t>6.</w:t>
            </w:r>
            <w:r w:rsidR="00E14CBB" w:rsidRPr="0099632B">
              <w:rPr>
                <w:rFonts w:ascii="Arial" w:hAnsi="Arial" w:cs="Arial"/>
              </w:rPr>
              <w:t>6</w:t>
            </w:r>
            <w:r w:rsidRPr="0099632B">
              <w:rPr>
                <w:rFonts w:ascii="Arial" w:hAnsi="Arial" w:cs="Arial"/>
              </w:rPr>
              <w:t>%</w:t>
            </w:r>
          </w:p>
        </w:tc>
      </w:tr>
      <w:tr w:rsidR="008F67BD" w:rsidRPr="0099632B" w14:paraId="5840A1F0" w14:textId="77777777" w:rsidTr="00C12CA5">
        <w:trPr>
          <w:trHeight w:val="340"/>
        </w:trPr>
        <w:tc>
          <w:tcPr>
            <w:tcW w:w="4914" w:type="dxa"/>
            <w:shd w:val="clear" w:color="auto" w:fill="E7E6E6" w:themeFill="background2"/>
          </w:tcPr>
          <w:p w14:paraId="443CF732" w14:textId="77777777" w:rsidR="008F67BD" w:rsidRPr="0099632B" w:rsidRDefault="008F67BD" w:rsidP="008F67BD">
            <w:pPr>
              <w:rPr>
                <w:rFonts w:ascii="Arial" w:hAnsi="Arial" w:cs="Arial"/>
              </w:rPr>
            </w:pPr>
            <w:r w:rsidRPr="0099632B">
              <w:rPr>
                <w:rFonts w:ascii="Arial" w:hAnsi="Arial" w:cs="Arial"/>
              </w:rPr>
              <w:t>Queensland</w:t>
            </w:r>
          </w:p>
        </w:tc>
        <w:tc>
          <w:tcPr>
            <w:tcW w:w="3875" w:type="dxa"/>
          </w:tcPr>
          <w:p w14:paraId="71E423DC" w14:textId="63976147" w:rsidR="008F67BD" w:rsidRPr="0099632B" w:rsidRDefault="008F67BD" w:rsidP="008F67BD">
            <w:pPr>
              <w:rPr>
                <w:rFonts w:ascii="Arial" w:hAnsi="Arial" w:cs="Arial"/>
              </w:rPr>
            </w:pPr>
            <w:r w:rsidRPr="0099632B">
              <w:rPr>
                <w:rFonts w:ascii="Arial" w:hAnsi="Arial" w:cs="Arial"/>
              </w:rPr>
              <w:t>8.</w:t>
            </w:r>
            <w:r w:rsidR="00E14CBB" w:rsidRPr="0099632B">
              <w:rPr>
                <w:rFonts w:ascii="Arial" w:hAnsi="Arial" w:cs="Arial"/>
              </w:rPr>
              <w:t>8</w:t>
            </w:r>
            <w:r w:rsidRPr="0099632B">
              <w:rPr>
                <w:rFonts w:ascii="Arial" w:hAnsi="Arial" w:cs="Arial"/>
              </w:rPr>
              <w:t>%</w:t>
            </w:r>
          </w:p>
        </w:tc>
      </w:tr>
      <w:tr w:rsidR="008F67BD" w:rsidRPr="0099632B" w14:paraId="1970ED6E" w14:textId="77777777" w:rsidTr="00C12CA5">
        <w:trPr>
          <w:trHeight w:val="340"/>
        </w:trPr>
        <w:tc>
          <w:tcPr>
            <w:tcW w:w="4914" w:type="dxa"/>
            <w:shd w:val="clear" w:color="auto" w:fill="E7E6E6" w:themeFill="background2"/>
          </w:tcPr>
          <w:p w14:paraId="42914722" w14:textId="77777777" w:rsidR="008F67BD" w:rsidRPr="0099632B" w:rsidRDefault="008F67BD" w:rsidP="008F67BD">
            <w:pPr>
              <w:rPr>
                <w:rFonts w:ascii="Arial" w:hAnsi="Arial" w:cs="Arial"/>
              </w:rPr>
            </w:pPr>
            <w:r w:rsidRPr="0099632B">
              <w:rPr>
                <w:rFonts w:ascii="Arial" w:hAnsi="Arial" w:cs="Arial"/>
              </w:rPr>
              <w:t>South Australia</w:t>
            </w:r>
          </w:p>
        </w:tc>
        <w:tc>
          <w:tcPr>
            <w:tcW w:w="3875" w:type="dxa"/>
          </w:tcPr>
          <w:p w14:paraId="5A62C01D" w14:textId="66DF3ACB" w:rsidR="008F67BD" w:rsidRPr="0099632B" w:rsidRDefault="00E14CBB" w:rsidP="008F67BD">
            <w:pPr>
              <w:rPr>
                <w:rFonts w:ascii="Arial" w:hAnsi="Arial" w:cs="Arial"/>
              </w:rPr>
            </w:pPr>
            <w:r w:rsidRPr="0099632B">
              <w:rPr>
                <w:rFonts w:ascii="Arial" w:hAnsi="Arial" w:cs="Arial"/>
              </w:rPr>
              <w:t>7.0</w:t>
            </w:r>
            <w:r w:rsidR="008F67BD" w:rsidRPr="0099632B">
              <w:rPr>
                <w:rFonts w:ascii="Arial" w:hAnsi="Arial" w:cs="Arial"/>
              </w:rPr>
              <w:t>%</w:t>
            </w:r>
          </w:p>
        </w:tc>
      </w:tr>
      <w:tr w:rsidR="008F67BD" w:rsidRPr="0099632B" w14:paraId="7E304A17" w14:textId="77777777" w:rsidTr="00C12CA5">
        <w:trPr>
          <w:trHeight w:val="340"/>
        </w:trPr>
        <w:tc>
          <w:tcPr>
            <w:tcW w:w="4914" w:type="dxa"/>
            <w:shd w:val="clear" w:color="auto" w:fill="E7E6E6" w:themeFill="background2"/>
          </w:tcPr>
          <w:p w14:paraId="1C516716" w14:textId="77777777" w:rsidR="008F67BD" w:rsidRPr="0099632B" w:rsidRDefault="008F67BD" w:rsidP="008F67BD">
            <w:pPr>
              <w:rPr>
                <w:rFonts w:ascii="Arial" w:hAnsi="Arial" w:cs="Arial"/>
              </w:rPr>
            </w:pPr>
            <w:r w:rsidRPr="0099632B">
              <w:rPr>
                <w:rFonts w:ascii="Arial" w:hAnsi="Arial" w:cs="Arial"/>
              </w:rPr>
              <w:t>Western Australia</w:t>
            </w:r>
          </w:p>
        </w:tc>
        <w:tc>
          <w:tcPr>
            <w:tcW w:w="3875" w:type="dxa"/>
          </w:tcPr>
          <w:p w14:paraId="79EC6D76" w14:textId="76863EBA" w:rsidR="008F67BD" w:rsidRPr="0099632B" w:rsidRDefault="00E14CBB" w:rsidP="008F67BD">
            <w:pPr>
              <w:rPr>
                <w:rFonts w:ascii="Arial" w:hAnsi="Arial" w:cs="Arial"/>
              </w:rPr>
            </w:pPr>
            <w:r w:rsidRPr="0099632B">
              <w:rPr>
                <w:rFonts w:ascii="Arial" w:hAnsi="Arial" w:cs="Arial"/>
              </w:rPr>
              <w:t>7.2</w:t>
            </w:r>
            <w:r w:rsidR="008F67BD" w:rsidRPr="0099632B">
              <w:rPr>
                <w:rFonts w:ascii="Arial" w:hAnsi="Arial" w:cs="Arial"/>
              </w:rPr>
              <w:t>%</w:t>
            </w:r>
          </w:p>
        </w:tc>
      </w:tr>
      <w:tr w:rsidR="008F67BD" w:rsidRPr="0099632B" w14:paraId="79DEDD13" w14:textId="77777777" w:rsidTr="00C12CA5">
        <w:trPr>
          <w:trHeight w:val="340"/>
        </w:trPr>
        <w:tc>
          <w:tcPr>
            <w:tcW w:w="4914" w:type="dxa"/>
            <w:shd w:val="clear" w:color="auto" w:fill="E7E6E6" w:themeFill="background2"/>
          </w:tcPr>
          <w:p w14:paraId="1D9748DF" w14:textId="77777777" w:rsidR="008F67BD" w:rsidRPr="0099632B" w:rsidRDefault="008F67BD" w:rsidP="008F67BD">
            <w:pPr>
              <w:rPr>
                <w:rFonts w:ascii="Arial" w:hAnsi="Arial" w:cs="Arial"/>
              </w:rPr>
            </w:pPr>
            <w:r w:rsidRPr="0099632B">
              <w:rPr>
                <w:rFonts w:ascii="Arial" w:hAnsi="Arial" w:cs="Arial"/>
              </w:rPr>
              <w:t>Tasmania</w:t>
            </w:r>
          </w:p>
        </w:tc>
        <w:tc>
          <w:tcPr>
            <w:tcW w:w="3875" w:type="dxa"/>
          </w:tcPr>
          <w:p w14:paraId="4FD357DF" w14:textId="1C6155AE" w:rsidR="008F67BD" w:rsidRPr="0099632B" w:rsidRDefault="008F67BD" w:rsidP="008F67BD">
            <w:pPr>
              <w:rPr>
                <w:rFonts w:ascii="Arial" w:hAnsi="Arial" w:cs="Arial"/>
              </w:rPr>
            </w:pPr>
            <w:r w:rsidRPr="0099632B">
              <w:rPr>
                <w:rFonts w:ascii="Arial" w:hAnsi="Arial" w:cs="Arial"/>
              </w:rPr>
              <w:t>1</w:t>
            </w:r>
            <w:r w:rsidR="00E14CBB" w:rsidRPr="0099632B">
              <w:rPr>
                <w:rFonts w:ascii="Arial" w:hAnsi="Arial" w:cs="Arial"/>
              </w:rPr>
              <w:t>5.6</w:t>
            </w:r>
            <w:r w:rsidRPr="0099632B">
              <w:rPr>
                <w:rFonts w:ascii="Arial" w:hAnsi="Arial" w:cs="Arial"/>
              </w:rPr>
              <w:t>%</w:t>
            </w:r>
          </w:p>
        </w:tc>
      </w:tr>
      <w:tr w:rsidR="008F67BD" w:rsidRPr="0099632B" w14:paraId="1513334E" w14:textId="77777777" w:rsidTr="00C12CA5">
        <w:trPr>
          <w:trHeight w:val="340"/>
        </w:trPr>
        <w:tc>
          <w:tcPr>
            <w:tcW w:w="4914" w:type="dxa"/>
            <w:shd w:val="clear" w:color="auto" w:fill="E7E6E6" w:themeFill="background2"/>
          </w:tcPr>
          <w:p w14:paraId="75D424A6" w14:textId="77777777" w:rsidR="008F67BD" w:rsidRPr="0099632B" w:rsidRDefault="008F67BD" w:rsidP="008F67BD">
            <w:pPr>
              <w:rPr>
                <w:rFonts w:ascii="Arial" w:hAnsi="Arial" w:cs="Arial"/>
              </w:rPr>
            </w:pPr>
            <w:r w:rsidRPr="0099632B">
              <w:rPr>
                <w:rFonts w:ascii="Arial" w:hAnsi="Arial" w:cs="Arial"/>
              </w:rPr>
              <w:t>Northern Territory</w:t>
            </w:r>
          </w:p>
        </w:tc>
        <w:tc>
          <w:tcPr>
            <w:tcW w:w="3875" w:type="dxa"/>
          </w:tcPr>
          <w:p w14:paraId="668EF328" w14:textId="307312DF" w:rsidR="008F67BD" w:rsidRPr="0099632B" w:rsidRDefault="008F67BD" w:rsidP="008F67BD">
            <w:pPr>
              <w:rPr>
                <w:rFonts w:ascii="Arial" w:hAnsi="Arial" w:cs="Arial"/>
              </w:rPr>
            </w:pPr>
            <w:r w:rsidRPr="0099632B">
              <w:rPr>
                <w:rFonts w:ascii="Arial" w:hAnsi="Arial" w:cs="Arial"/>
              </w:rPr>
              <w:t>10.9%</w:t>
            </w:r>
          </w:p>
        </w:tc>
      </w:tr>
      <w:tr w:rsidR="008F67BD" w:rsidRPr="0099632B" w14:paraId="6CA76664" w14:textId="77777777" w:rsidTr="00C12CA5">
        <w:trPr>
          <w:trHeight w:val="340"/>
        </w:trPr>
        <w:tc>
          <w:tcPr>
            <w:tcW w:w="4914" w:type="dxa"/>
            <w:shd w:val="clear" w:color="auto" w:fill="E7E6E6" w:themeFill="background2"/>
          </w:tcPr>
          <w:p w14:paraId="1CA3EEC9" w14:textId="7F93E6C8" w:rsidR="008F67BD" w:rsidRPr="0099632B" w:rsidRDefault="0099632B" w:rsidP="008F67BD">
            <w:pPr>
              <w:rPr>
                <w:rFonts w:ascii="Arial" w:hAnsi="Arial" w:cs="Arial"/>
              </w:rPr>
            </w:pPr>
            <w:r w:rsidRPr="006A00E6">
              <w:rPr>
                <w:rFonts w:ascii="Arial" w:hAnsi="Arial" w:cs="Arial"/>
              </w:rPr>
              <w:t>A</w:t>
            </w:r>
            <w:r>
              <w:rPr>
                <w:rFonts w:ascii="Arial" w:hAnsi="Arial" w:cs="Arial"/>
              </w:rPr>
              <w:t>ustralian Capital Territory</w:t>
            </w:r>
          </w:p>
        </w:tc>
        <w:tc>
          <w:tcPr>
            <w:tcW w:w="3875" w:type="dxa"/>
          </w:tcPr>
          <w:p w14:paraId="580C5861" w14:textId="4BEFD887" w:rsidR="008F67BD" w:rsidRPr="0099632B" w:rsidRDefault="008F67BD" w:rsidP="008F67BD">
            <w:pPr>
              <w:rPr>
                <w:rFonts w:ascii="Arial" w:hAnsi="Arial" w:cs="Arial"/>
              </w:rPr>
            </w:pPr>
            <w:r w:rsidRPr="0099632B">
              <w:rPr>
                <w:rFonts w:ascii="Arial" w:hAnsi="Arial" w:cs="Arial"/>
              </w:rPr>
              <w:t>7.</w:t>
            </w:r>
            <w:r w:rsidR="00E14CBB" w:rsidRPr="0099632B">
              <w:rPr>
                <w:rFonts w:ascii="Arial" w:hAnsi="Arial" w:cs="Arial"/>
              </w:rPr>
              <w:t>9</w:t>
            </w:r>
            <w:r w:rsidRPr="0099632B">
              <w:rPr>
                <w:rFonts w:ascii="Arial" w:hAnsi="Arial" w:cs="Arial"/>
              </w:rPr>
              <w:t>%</w:t>
            </w:r>
          </w:p>
        </w:tc>
      </w:tr>
      <w:tr w:rsidR="008F67BD" w:rsidRPr="00B82E1F" w14:paraId="6C099D7B" w14:textId="77777777" w:rsidTr="00C12CA5">
        <w:trPr>
          <w:trHeight w:val="340"/>
        </w:trPr>
        <w:tc>
          <w:tcPr>
            <w:tcW w:w="4914" w:type="dxa"/>
            <w:shd w:val="clear" w:color="auto" w:fill="E7E6E6" w:themeFill="background2"/>
          </w:tcPr>
          <w:p w14:paraId="34836BB2" w14:textId="5F330E63" w:rsidR="008F67BD" w:rsidRPr="0099632B" w:rsidRDefault="008F67BD" w:rsidP="008F67BD">
            <w:pPr>
              <w:rPr>
                <w:rFonts w:ascii="Arial" w:hAnsi="Arial" w:cs="Arial"/>
              </w:rPr>
            </w:pPr>
            <w:r w:rsidRPr="0099632B">
              <w:rPr>
                <w:rFonts w:ascii="Arial" w:hAnsi="Arial" w:cs="Arial"/>
              </w:rPr>
              <w:t>Australia</w:t>
            </w:r>
          </w:p>
        </w:tc>
        <w:tc>
          <w:tcPr>
            <w:tcW w:w="3875" w:type="dxa"/>
          </w:tcPr>
          <w:p w14:paraId="30C7620F" w14:textId="390D6A9C" w:rsidR="008F67BD" w:rsidRPr="0099632B" w:rsidRDefault="008F67BD" w:rsidP="008F67BD">
            <w:pPr>
              <w:rPr>
                <w:rFonts w:ascii="Arial" w:hAnsi="Arial" w:cs="Arial"/>
              </w:rPr>
            </w:pPr>
            <w:r w:rsidRPr="0099632B">
              <w:rPr>
                <w:rFonts w:ascii="Arial" w:hAnsi="Arial" w:cs="Arial"/>
              </w:rPr>
              <w:t>7.</w:t>
            </w:r>
            <w:r w:rsidR="00E14CBB" w:rsidRPr="0099632B">
              <w:rPr>
                <w:rFonts w:ascii="Arial" w:hAnsi="Arial" w:cs="Arial"/>
              </w:rPr>
              <w:t>5</w:t>
            </w:r>
            <w:r w:rsidRPr="0099632B">
              <w:rPr>
                <w:rFonts w:ascii="Arial" w:hAnsi="Arial" w:cs="Arial"/>
              </w:rPr>
              <w:t>%</w:t>
            </w:r>
          </w:p>
        </w:tc>
      </w:tr>
    </w:tbl>
    <w:p w14:paraId="1C29D261" w14:textId="77777777" w:rsidR="0035675C" w:rsidRPr="00B82E1F" w:rsidRDefault="0035675C" w:rsidP="0026546D">
      <w:pPr>
        <w:rPr>
          <w:rFonts w:ascii="Arial" w:hAnsi="Arial" w:cs="Arial"/>
          <w:b/>
          <w:bCs/>
          <w:sz w:val="32"/>
          <w:szCs w:val="32"/>
        </w:rPr>
      </w:pPr>
    </w:p>
    <w:p w14:paraId="0BA0D1E4" w14:textId="77777777" w:rsidR="00D279DB" w:rsidRPr="00B82E1F" w:rsidRDefault="00D279DB" w:rsidP="0026546D">
      <w:pPr>
        <w:rPr>
          <w:rFonts w:ascii="Arial" w:hAnsi="Arial" w:cs="Arial"/>
          <w:b/>
          <w:bCs/>
          <w:sz w:val="32"/>
          <w:szCs w:val="32"/>
        </w:rPr>
      </w:pPr>
    </w:p>
    <w:p w14:paraId="3C61CCF6" w14:textId="77777777" w:rsidR="00D279DB" w:rsidRPr="00B82E1F" w:rsidRDefault="00D279DB" w:rsidP="0026546D">
      <w:pPr>
        <w:rPr>
          <w:rFonts w:ascii="Arial" w:hAnsi="Arial" w:cs="Arial"/>
          <w:b/>
          <w:bCs/>
          <w:sz w:val="32"/>
          <w:szCs w:val="32"/>
        </w:rPr>
      </w:pPr>
    </w:p>
    <w:p w14:paraId="2FA4B38E" w14:textId="77777777" w:rsidR="00D279DB" w:rsidRPr="00B82E1F" w:rsidRDefault="00D279DB" w:rsidP="0026546D">
      <w:pPr>
        <w:rPr>
          <w:rFonts w:ascii="Arial" w:hAnsi="Arial" w:cs="Arial"/>
          <w:b/>
          <w:bCs/>
          <w:sz w:val="32"/>
          <w:szCs w:val="32"/>
        </w:rPr>
      </w:pPr>
    </w:p>
    <w:p w14:paraId="1173F6B8" w14:textId="77777777" w:rsidR="00D279DB" w:rsidRPr="00B82E1F" w:rsidRDefault="00D279DB" w:rsidP="0026546D">
      <w:pPr>
        <w:rPr>
          <w:rFonts w:ascii="Arial" w:hAnsi="Arial" w:cs="Arial"/>
          <w:b/>
          <w:bCs/>
          <w:sz w:val="32"/>
          <w:szCs w:val="32"/>
        </w:rPr>
      </w:pPr>
    </w:p>
    <w:p w14:paraId="4C5B9FE3" w14:textId="77777777" w:rsidR="00D279DB" w:rsidRPr="00B82E1F" w:rsidRDefault="00D279DB" w:rsidP="0026546D">
      <w:pPr>
        <w:rPr>
          <w:rFonts w:ascii="Arial" w:hAnsi="Arial" w:cs="Arial"/>
          <w:b/>
          <w:bCs/>
          <w:sz w:val="32"/>
          <w:szCs w:val="32"/>
        </w:rPr>
      </w:pPr>
    </w:p>
    <w:p w14:paraId="027FFBAD" w14:textId="02E6CA88" w:rsidR="00D279DB" w:rsidRPr="00B82E1F" w:rsidRDefault="00D279DB">
      <w:pPr>
        <w:rPr>
          <w:rFonts w:ascii="Arial" w:hAnsi="Arial" w:cs="Arial"/>
          <w:b/>
          <w:bCs/>
          <w:sz w:val="32"/>
          <w:szCs w:val="32"/>
        </w:rPr>
      </w:pPr>
      <w:r w:rsidRPr="00B82E1F">
        <w:rPr>
          <w:rFonts w:ascii="Arial" w:hAnsi="Arial" w:cs="Arial"/>
          <w:b/>
          <w:bCs/>
          <w:sz w:val="32"/>
          <w:szCs w:val="32"/>
        </w:rPr>
        <w:br w:type="page"/>
      </w:r>
    </w:p>
    <w:p w14:paraId="6AF47D1A" w14:textId="16AB743C" w:rsidR="00D279DB" w:rsidRPr="00B82E1F" w:rsidRDefault="00A71CCE" w:rsidP="002F5DF5">
      <w:pPr>
        <w:pStyle w:val="Heading1"/>
        <w:rPr>
          <w:rFonts w:cs="Arial"/>
        </w:rPr>
      </w:pPr>
      <w:bookmarkStart w:id="54" w:name="_Toc194938477"/>
      <w:r w:rsidRPr="00B82E1F">
        <w:rPr>
          <w:rFonts w:cs="Arial"/>
        </w:rPr>
        <w:lastRenderedPageBreak/>
        <w:t xml:space="preserve">9. </w:t>
      </w:r>
      <w:r w:rsidR="00D279DB" w:rsidRPr="00B82E1F">
        <w:rPr>
          <w:rFonts w:cs="Arial"/>
        </w:rPr>
        <w:t>D</w:t>
      </w:r>
      <w:r w:rsidR="00827E20" w:rsidRPr="00B82E1F">
        <w:rPr>
          <w:rFonts w:cs="Arial"/>
        </w:rPr>
        <w:t>etailed d</w:t>
      </w:r>
      <w:r w:rsidR="00D279DB" w:rsidRPr="00B82E1F">
        <w:rPr>
          <w:rFonts w:cs="Arial"/>
        </w:rPr>
        <w:t>ata tables</w:t>
      </w:r>
      <w:bookmarkEnd w:id="54"/>
    </w:p>
    <w:p w14:paraId="26DA7AB9" w14:textId="24CD1808" w:rsidR="00451444" w:rsidRPr="0099632B" w:rsidRDefault="00451444" w:rsidP="00451444">
      <w:pPr>
        <w:pStyle w:val="Default"/>
        <w:spacing w:before="120" w:after="120"/>
        <w:rPr>
          <w:rFonts w:ascii="Arial" w:hAnsi="Arial" w:cs="Arial"/>
          <w:color w:val="auto"/>
          <w:sz w:val="23"/>
          <w:szCs w:val="23"/>
        </w:rPr>
      </w:pPr>
      <w:r w:rsidRPr="0099632B">
        <w:rPr>
          <w:rFonts w:ascii="Arial" w:hAnsi="Arial" w:cs="Arial"/>
          <w:color w:val="auto"/>
          <w:sz w:val="23"/>
          <w:szCs w:val="23"/>
        </w:rPr>
        <w:t>To note: estimates in the tables below may not sum to total due to rounding discrepancies.</w:t>
      </w:r>
    </w:p>
    <w:p w14:paraId="78C7815B" w14:textId="67137363" w:rsidR="00732524" w:rsidRPr="0099632B" w:rsidRDefault="00732524" w:rsidP="00451444">
      <w:pPr>
        <w:pStyle w:val="Default"/>
        <w:spacing w:before="120" w:after="120"/>
        <w:rPr>
          <w:rFonts w:ascii="Arial" w:hAnsi="Arial" w:cs="Arial"/>
          <w:color w:val="auto"/>
          <w:sz w:val="23"/>
          <w:szCs w:val="23"/>
        </w:rPr>
      </w:pPr>
      <w:r w:rsidRPr="0099632B">
        <w:rPr>
          <w:rFonts w:ascii="Arial" w:hAnsi="Arial" w:cs="Arial"/>
          <w:color w:val="auto"/>
          <w:sz w:val="23"/>
          <w:szCs w:val="23"/>
        </w:rPr>
        <w:t>Please do not compare estimates in the tables below with previously published estimates due to revisions to input data.</w:t>
      </w:r>
      <w:r w:rsidR="00DE0ABA" w:rsidRPr="0099632B">
        <w:rPr>
          <w:rFonts w:ascii="Arial" w:hAnsi="Arial" w:cs="Arial"/>
          <w:color w:val="auto"/>
          <w:sz w:val="23"/>
          <w:szCs w:val="23"/>
        </w:rPr>
        <w:t xml:space="preserve"> Data has been back-cast to measure like-for-like growth changes.</w:t>
      </w:r>
    </w:p>
    <w:p w14:paraId="28733DCE" w14:textId="0000B9B2" w:rsidR="00BF6BAC" w:rsidRPr="0099632B" w:rsidRDefault="00A71CCE" w:rsidP="00313271">
      <w:pPr>
        <w:pStyle w:val="Heading2"/>
        <w:spacing w:before="240" w:after="120"/>
        <w:rPr>
          <w:rFonts w:ascii="Arial" w:hAnsi="Arial" w:cs="Arial"/>
          <w:color w:val="002060"/>
        </w:rPr>
      </w:pPr>
      <w:bookmarkStart w:id="55" w:name="_Toc194938478"/>
      <w:r w:rsidRPr="0099632B">
        <w:rPr>
          <w:rFonts w:ascii="Arial" w:hAnsi="Arial" w:cs="Arial"/>
          <w:color w:val="002060"/>
        </w:rPr>
        <w:t xml:space="preserve">9.1 </w:t>
      </w:r>
      <w:r w:rsidR="00BF6BAC" w:rsidRPr="0099632B">
        <w:rPr>
          <w:rFonts w:ascii="Arial" w:hAnsi="Arial" w:cs="Arial"/>
          <w:color w:val="002060"/>
        </w:rPr>
        <w:t xml:space="preserve">Gross </w:t>
      </w:r>
      <w:r w:rsidR="00A21BC7" w:rsidRPr="0099632B">
        <w:rPr>
          <w:rFonts w:ascii="Arial" w:hAnsi="Arial" w:cs="Arial"/>
          <w:color w:val="002060"/>
        </w:rPr>
        <w:t>V</w:t>
      </w:r>
      <w:r w:rsidR="00BF6BAC" w:rsidRPr="0099632B">
        <w:rPr>
          <w:rFonts w:ascii="Arial" w:hAnsi="Arial" w:cs="Arial"/>
          <w:color w:val="002060"/>
        </w:rPr>
        <w:t xml:space="preserve">alue </w:t>
      </w:r>
      <w:r w:rsidR="00A21BC7" w:rsidRPr="0099632B">
        <w:rPr>
          <w:rFonts w:ascii="Arial" w:hAnsi="Arial" w:cs="Arial"/>
          <w:color w:val="002060"/>
        </w:rPr>
        <w:t>A</w:t>
      </w:r>
      <w:r w:rsidR="00BF6BAC" w:rsidRPr="0099632B">
        <w:rPr>
          <w:rFonts w:ascii="Arial" w:hAnsi="Arial" w:cs="Arial"/>
          <w:color w:val="002060"/>
        </w:rPr>
        <w:t>dded</w:t>
      </w:r>
      <w:bookmarkEnd w:id="55"/>
      <w:r w:rsidR="00BF6BAC" w:rsidRPr="0099632B">
        <w:rPr>
          <w:rFonts w:ascii="Arial" w:hAnsi="Arial" w:cs="Arial"/>
          <w:color w:val="002060"/>
        </w:rPr>
        <w:t xml:space="preserve"> </w:t>
      </w:r>
    </w:p>
    <w:p w14:paraId="47FBAEA7" w14:textId="0699B40D" w:rsidR="00351A67" w:rsidRPr="0099632B" w:rsidRDefault="00A71CCE" w:rsidP="00313271">
      <w:pPr>
        <w:pStyle w:val="Heading3"/>
        <w:spacing w:before="240" w:after="120"/>
        <w:rPr>
          <w:rFonts w:ascii="Arial" w:eastAsiaTheme="minorHAnsi" w:hAnsi="Arial" w:cs="Arial"/>
          <w:color w:val="002060"/>
        </w:rPr>
      </w:pPr>
      <w:r w:rsidRPr="0099632B">
        <w:rPr>
          <w:rFonts w:ascii="Arial" w:eastAsiaTheme="minorHAnsi" w:hAnsi="Arial" w:cs="Arial"/>
          <w:color w:val="002060"/>
        </w:rPr>
        <w:t xml:space="preserve">9.1.1 </w:t>
      </w:r>
      <w:r w:rsidR="00351A67" w:rsidRPr="0099632B">
        <w:rPr>
          <w:rFonts w:ascii="Arial" w:eastAsiaTheme="minorHAnsi" w:hAnsi="Arial" w:cs="Arial"/>
          <w:color w:val="002060"/>
        </w:rPr>
        <w:t>Direct, indirect and to</w:t>
      </w:r>
      <w:r w:rsidR="00C633FF" w:rsidRPr="0099632B">
        <w:rPr>
          <w:rFonts w:ascii="Arial" w:eastAsiaTheme="minorHAnsi" w:hAnsi="Arial" w:cs="Arial"/>
          <w:color w:val="002060"/>
        </w:rPr>
        <w:t>t</w:t>
      </w:r>
      <w:r w:rsidR="00351A67" w:rsidRPr="0099632B">
        <w:rPr>
          <w:rFonts w:ascii="Arial" w:eastAsiaTheme="minorHAnsi" w:hAnsi="Arial" w:cs="Arial"/>
          <w:color w:val="002060"/>
        </w:rPr>
        <w:t>al Gross Value Added (GVA)</w:t>
      </w:r>
      <w:r w:rsidR="00C633FF" w:rsidRPr="0099632B">
        <w:rPr>
          <w:rFonts w:ascii="Arial" w:eastAsiaTheme="minorHAnsi" w:hAnsi="Arial" w:cs="Arial"/>
          <w:color w:val="002060"/>
        </w:rPr>
        <w:t xml:space="preserve"> in Victoria by volume </w:t>
      </w:r>
      <w:r w:rsidR="00F76D7A" w:rsidRPr="0099632B">
        <w:rPr>
          <w:rFonts w:ascii="Arial" w:eastAsiaTheme="minorHAnsi" w:hAnsi="Arial" w:cs="Arial"/>
          <w:color w:val="002060"/>
        </w:rPr>
        <w:t xml:space="preserve">in </w:t>
      </w:r>
      <w:r w:rsidR="003A71F6" w:rsidRPr="0099632B">
        <w:rPr>
          <w:rFonts w:ascii="Arial" w:eastAsiaTheme="minorHAnsi" w:hAnsi="Arial" w:cs="Arial"/>
          <w:color w:val="002060"/>
        </w:rPr>
        <w:t>2018-19</w:t>
      </w:r>
      <w:r w:rsidR="00F76D7A" w:rsidRPr="0099632B">
        <w:rPr>
          <w:rFonts w:ascii="Arial" w:eastAsiaTheme="minorHAnsi" w:hAnsi="Arial" w:cs="Arial"/>
          <w:color w:val="002060"/>
        </w:rPr>
        <w:t xml:space="preserve"> to </w:t>
      </w:r>
      <w:r w:rsidR="00087CA3" w:rsidRPr="0099632B">
        <w:rPr>
          <w:rFonts w:ascii="Arial" w:eastAsiaTheme="minorHAnsi" w:hAnsi="Arial" w:cs="Arial"/>
          <w:color w:val="002060"/>
        </w:rPr>
        <w:t>2023-24</w:t>
      </w:r>
    </w:p>
    <w:tbl>
      <w:tblPr>
        <w:tblStyle w:val="TableGrid"/>
        <w:tblW w:w="0" w:type="auto"/>
        <w:tblLook w:val="04A0" w:firstRow="1" w:lastRow="0" w:firstColumn="1" w:lastColumn="0" w:noHBand="0" w:noVBand="1"/>
      </w:tblPr>
      <w:tblGrid>
        <w:gridCol w:w="1811"/>
        <w:gridCol w:w="1303"/>
        <w:gridCol w:w="1303"/>
        <w:gridCol w:w="1303"/>
        <w:gridCol w:w="1303"/>
        <w:gridCol w:w="1303"/>
        <w:gridCol w:w="1303"/>
      </w:tblGrid>
      <w:tr w:rsidR="008F0908" w:rsidRPr="0099632B" w14:paraId="09CFD7F8" w14:textId="77777777" w:rsidTr="000710FB">
        <w:trPr>
          <w:tblHeader/>
        </w:trPr>
        <w:tc>
          <w:tcPr>
            <w:tcW w:w="1811" w:type="dxa"/>
            <w:shd w:val="clear" w:color="auto" w:fill="D9D9D9" w:themeFill="background1" w:themeFillShade="D9"/>
          </w:tcPr>
          <w:p w14:paraId="48D1447D" w14:textId="77777777" w:rsidR="008F0908" w:rsidRPr="0099632B" w:rsidRDefault="008F0908" w:rsidP="008F0908">
            <w:pPr>
              <w:rPr>
                <w:rFonts w:ascii="Arial" w:eastAsiaTheme="majorEastAsia" w:hAnsi="Arial" w:cs="Arial"/>
                <w:b/>
                <w:bCs/>
                <w:color w:val="2F5496" w:themeColor="accent1" w:themeShade="BF"/>
                <w:sz w:val="24"/>
                <w:szCs w:val="24"/>
              </w:rPr>
            </w:pPr>
            <w:bookmarkStart w:id="56" w:name="Title_14" w:colFirst="0" w:colLast="0"/>
          </w:p>
        </w:tc>
        <w:tc>
          <w:tcPr>
            <w:tcW w:w="1303" w:type="dxa"/>
            <w:shd w:val="clear" w:color="auto" w:fill="D9D9D9" w:themeFill="background1" w:themeFillShade="D9"/>
          </w:tcPr>
          <w:p w14:paraId="1F3D5CE2" w14:textId="5C7428F0"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2018-19</w:t>
            </w:r>
          </w:p>
        </w:tc>
        <w:tc>
          <w:tcPr>
            <w:tcW w:w="1303" w:type="dxa"/>
            <w:shd w:val="clear" w:color="auto" w:fill="D9D9D9" w:themeFill="background1" w:themeFillShade="D9"/>
          </w:tcPr>
          <w:p w14:paraId="10210C0B" w14:textId="6AE47AB7"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2019-20</w:t>
            </w:r>
          </w:p>
        </w:tc>
        <w:tc>
          <w:tcPr>
            <w:tcW w:w="1303" w:type="dxa"/>
            <w:shd w:val="clear" w:color="auto" w:fill="D9D9D9" w:themeFill="background1" w:themeFillShade="D9"/>
          </w:tcPr>
          <w:p w14:paraId="5ED7AF7A" w14:textId="15D6450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2020-21</w:t>
            </w:r>
          </w:p>
        </w:tc>
        <w:tc>
          <w:tcPr>
            <w:tcW w:w="1303" w:type="dxa"/>
            <w:shd w:val="clear" w:color="auto" w:fill="D9D9D9" w:themeFill="background1" w:themeFillShade="D9"/>
          </w:tcPr>
          <w:p w14:paraId="1373BEFA" w14:textId="73C3C5CD"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2021-22</w:t>
            </w:r>
          </w:p>
        </w:tc>
        <w:tc>
          <w:tcPr>
            <w:tcW w:w="1303" w:type="dxa"/>
            <w:shd w:val="clear" w:color="auto" w:fill="D9D9D9" w:themeFill="background1" w:themeFillShade="D9"/>
          </w:tcPr>
          <w:p w14:paraId="5A7246A0" w14:textId="5BD34DCF"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2022-23</w:t>
            </w:r>
          </w:p>
        </w:tc>
        <w:tc>
          <w:tcPr>
            <w:tcW w:w="1303" w:type="dxa"/>
            <w:shd w:val="clear" w:color="auto" w:fill="D9D9D9" w:themeFill="background1" w:themeFillShade="D9"/>
          </w:tcPr>
          <w:p w14:paraId="6D0C3EBD" w14:textId="098261A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2023-24</w:t>
            </w:r>
          </w:p>
        </w:tc>
      </w:tr>
      <w:bookmarkEnd w:id="56"/>
      <w:tr w:rsidR="008F0908" w:rsidRPr="0099632B" w14:paraId="4DE75E21" w14:textId="77777777" w:rsidTr="00C12CA5">
        <w:tc>
          <w:tcPr>
            <w:tcW w:w="1811" w:type="dxa"/>
            <w:shd w:val="clear" w:color="auto" w:fill="D9D9D9" w:themeFill="background1" w:themeFillShade="D9"/>
          </w:tcPr>
          <w:p w14:paraId="059CE996" w14:textId="35FA1E17"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Direct GVA ($m)</w:t>
            </w:r>
          </w:p>
        </w:tc>
        <w:tc>
          <w:tcPr>
            <w:tcW w:w="1303" w:type="dxa"/>
          </w:tcPr>
          <w:p w14:paraId="6FB9E493" w14:textId="714C085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12,374</w:t>
            </w:r>
          </w:p>
        </w:tc>
        <w:tc>
          <w:tcPr>
            <w:tcW w:w="1303" w:type="dxa"/>
          </w:tcPr>
          <w:p w14:paraId="4982C760" w14:textId="07AD15FF"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9,858</w:t>
            </w:r>
          </w:p>
        </w:tc>
        <w:tc>
          <w:tcPr>
            <w:tcW w:w="1303" w:type="dxa"/>
          </w:tcPr>
          <w:p w14:paraId="39277DF9" w14:textId="08562AD2"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4,434</w:t>
            </w:r>
          </w:p>
        </w:tc>
        <w:tc>
          <w:tcPr>
            <w:tcW w:w="1303" w:type="dxa"/>
          </w:tcPr>
          <w:p w14:paraId="3B1899F7" w14:textId="05C83AD2"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6,662</w:t>
            </w:r>
          </w:p>
        </w:tc>
        <w:tc>
          <w:tcPr>
            <w:tcW w:w="1303" w:type="dxa"/>
          </w:tcPr>
          <w:p w14:paraId="39D770C6" w14:textId="2BFB55BD"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13,230</w:t>
            </w:r>
          </w:p>
        </w:tc>
        <w:tc>
          <w:tcPr>
            <w:tcW w:w="1303" w:type="dxa"/>
          </w:tcPr>
          <w:p w14:paraId="190E1FD1" w14:textId="142456A9"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15,202</w:t>
            </w:r>
          </w:p>
        </w:tc>
      </w:tr>
      <w:tr w:rsidR="008F0908" w:rsidRPr="0099632B" w14:paraId="4FA18692" w14:textId="77777777" w:rsidTr="00C12CA5">
        <w:tc>
          <w:tcPr>
            <w:tcW w:w="1811" w:type="dxa"/>
            <w:shd w:val="clear" w:color="auto" w:fill="D9D9D9" w:themeFill="background1" w:themeFillShade="D9"/>
          </w:tcPr>
          <w:p w14:paraId="40130396" w14:textId="3A59619D"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Indirect GVA ($m)</w:t>
            </w:r>
          </w:p>
        </w:tc>
        <w:tc>
          <w:tcPr>
            <w:tcW w:w="1303" w:type="dxa"/>
          </w:tcPr>
          <w:p w14:paraId="347D650A" w14:textId="6DAB10D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13,448</w:t>
            </w:r>
          </w:p>
        </w:tc>
        <w:tc>
          <w:tcPr>
            <w:tcW w:w="1303" w:type="dxa"/>
          </w:tcPr>
          <w:p w14:paraId="4999F86A" w14:textId="2CAFDDEA"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10,807</w:t>
            </w:r>
          </w:p>
        </w:tc>
        <w:tc>
          <w:tcPr>
            <w:tcW w:w="1303" w:type="dxa"/>
          </w:tcPr>
          <w:p w14:paraId="32DBD4CC" w14:textId="63253054"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5,380</w:t>
            </w:r>
          </w:p>
        </w:tc>
        <w:tc>
          <w:tcPr>
            <w:tcW w:w="1303" w:type="dxa"/>
          </w:tcPr>
          <w:p w14:paraId="367F6B3B" w14:textId="57CB8705"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7,977</w:t>
            </w:r>
          </w:p>
        </w:tc>
        <w:tc>
          <w:tcPr>
            <w:tcW w:w="1303" w:type="dxa"/>
          </w:tcPr>
          <w:p w14:paraId="51417719" w14:textId="61B9EAD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14,675</w:t>
            </w:r>
          </w:p>
        </w:tc>
        <w:tc>
          <w:tcPr>
            <w:tcW w:w="1303" w:type="dxa"/>
          </w:tcPr>
          <w:p w14:paraId="5782CA8E" w14:textId="6B3F3155"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16,125</w:t>
            </w:r>
          </w:p>
        </w:tc>
      </w:tr>
      <w:tr w:rsidR="008F0908" w:rsidRPr="0099632B" w14:paraId="1F875DC5" w14:textId="77777777" w:rsidTr="00C12CA5">
        <w:tc>
          <w:tcPr>
            <w:tcW w:w="1811" w:type="dxa"/>
            <w:shd w:val="clear" w:color="auto" w:fill="D9D9D9" w:themeFill="background1" w:themeFillShade="D9"/>
          </w:tcPr>
          <w:p w14:paraId="02B478D8" w14:textId="50CD396D" w:rsidR="008F0908" w:rsidRPr="0099632B" w:rsidRDefault="008F0908" w:rsidP="008F0908">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Total GVA ($m)</w:t>
            </w:r>
          </w:p>
        </w:tc>
        <w:tc>
          <w:tcPr>
            <w:tcW w:w="1303" w:type="dxa"/>
          </w:tcPr>
          <w:p w14:paraId="608C95DD" w14:textId="2C9343CC"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25,822</w:t>
            </w:r>
          </w:p>
        </w:tc>
        <w:tc>
          <w:tcPr>
            <w:tcW w:w="1303" w:type="dxa"/>
          </w:tcPr>
          <w:p w14:paraId="0C5E1D40" w14:textId="1D85DD44"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20,665</w:t>
            </w:r>
          </w:p>
        </w:tc>
        <w:tc>
          <w:tcPr>
            <w:tcW w:w="1303" w:type="dxa"/>
          </w:tcPr>
          <w:p w14:paraId="1194E231" w14:textId="4134A4B5"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9,814</w:t>
            </w:r>
          </w:p>
        </w:tc>
        <w:tc>
          <w:tcPr>
            <w:tcW w:w="1303" w:type="dxa"/>
          </w:tcPr>
          <w:p w14:paraId="17B61F49" w14:textId="50617069"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14,638</w:t>
            </w:r>
          </w:p>
        </w:tc>
        <w:tc>
          <w:tcPr>
            <w:tcW w:w="1303" w:type="dxa"/>
          </w:tcPr>
          <w:p w14:paraId="40DAF0D0" w14:textId="50D7CFB7"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27,906</w:t>
            </w:r>
          </w:p>
        </w:tc>
        <w:tc>
          <w:tcPr>
            <w:tcW w:w="1303" w:type="dxa"/>
          </w:tcPr>
          <w:p w14:paraId="2A55255E" w14:textId="3317FCC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rPr>
              <w:t>31,327</w:t>
            </w:r>
          </w:p>
        </w:tc>
      </w:tr>
    </w:tbl>
    <w:p w14:paraId="549DD862" w14:textId="77777777" w:rsidR="00E53131" w:rsidRPr="0099632B" w:rsidRDefault="00E53131" w:rsidP="001849BC">
      <w:pPr>
        <w:pStyle w:val="NoSpacing"/>
        <w:rPr>
          <w:rFonts w:ascii="Arial" w:hAnsi="Arial" w:cs="Arial"/>
          <w:sz w:val="14"/>
          <w:szCs w:val="14"/>
        </w:rPr>
      </w:pPr>
    </w:p>
    <w:p w14:paraId="08CFA9D2" w14:textId="1F4700D6" w:rsidR="00152241" w:rsidRPr="00B82E1F" w:rsidRDefault="00A71CCE" w:rsidP="00152241">
      <w:pPr>
        <w:pStyle w:val="Heading3"/>
        <w:spacing w:before="240" w:after="120"/>
        <w:rPr>
          <w:rFonts w:ascii="Arial" w:eastAsiaTheme="minorHAnsi" w:hAnsi="Arial" w:cs="Arial"/>
          <w:color w:val="002060"/>
        </w:rPr>
      </w:pPr>
      <w:r w:rsidRPr="0099632B">
        <w:rPr>
          <w:rFonts w:ascii="Arial" w:eastAsiaTheme="minorHAnsi" w:hAnsi="Arial" w:cs="Arial"/>
          <w:color w:val="002060"/>
        </w:rPr>
        <w:t xml:space="preserve">9.1.2 </w:t>
      </w:r>
      <w:r w:rsidR="00E53131" w:rsidRPr="0099632B">
        <w:rPr>
          <w:rFonts w:ascii="Arial" w:eastAsiaTheme="minorHAnsi" w:hAnsi="Arial" w:cs="Arial"/>
          <w:color w:val="002060"/>
        </w:rPr>
        <w:t xml:space="preserve">Direct, indirect and total Gross Value Added (GVA) in Victoria by </w:t>
      </w:r>
      <w:r w:rsidR="00C629B7" w:rsidRPr="0099632B">
        <w:rPr>
          <w:rFonts w:ascii="Arial" w:eastAsiaTheme="minorHAnsi" w:hAnsi="Arial" w:cs="Arial"/>
          <w:color w:val="002060"/>
        </w:rPr>
        <w:t xml:space="preserve">percentage </w:t>
      </w:r>
      <w:r w:rsidR="00E53131" w:rsidRPr="0099632B">
        <w:rPr>
          <w:rFonts w:ascii="Arial" w:eastAsiaTheme="minorHAnsi" w:hAnsi="Arial" w:cs="Arial"/>
          <w:color w:val="002060"/>
        </w:rPr>
        <w:t xml:space="preserve">contribution to the economy </w:t>
      </w:r>
      <w:r w:rsidR="009139C2" w:rsidRPr="0099632B">
        <w:rPr>
          <w:rFonts w:ascii="Arial" w:eastAsiaTheme="minorHAnsi" w:hAnsi="Arial" w:cs="Arial"/>
          <w:color w:val="002060"/>
        </w:rPr>
        <w:t xml:space="preserve">in </w:t>
      </w:r>
      <w:r w:rsidR="003A71F6" w:rsidRPr="0099632B">
        <w:rPr>
          <w:rFonts w:ascii="Arial" w:eastAsiaTheme="minorHAnsi" w:hAnsi="Arial" w:cs="Arial"/>
          <w:color w:val="002060"/>
        </w:rPr>
        <w:t>2018-19</w:t>
      </w:r>
      <w:r w:rsidR="00152241" w:rsidRPr="0099632B">
        <w:rPr>
          <w:rFonts w:ascii="Arial" w:eastAsiaTheme="minorHAnsi" w:hAnsi="Arial" w:cs="Arial"/>
          <w:color w:val="002060"/>
        </w:rPr>
        <w:t xml:space="preserve"> to </w:t>
      </w:r>
      <w:r w:rsidR="00087CA3" w:rsidRPr="0099632B">
        <w:rPr>
          <w:rFonts w:ascii="Arial" w:eastAsiaTheme="minorHAnsi" w:hAnsi="Arial" w:cs="Arial"/>
          <w:color w:val="002060"/>
        </w:rPr>
        <w:t>2023-24</w:t>
      </w:r>
    </w:p>
    <w:tbl>
      <w:tblPr>
        <w:tblStyle w:val="TableGrid"/>
        <w:tblW w:w="0" w:type="auto"/>
        <w:tblLook w:val="04A0" w:firstRow="1" w:lastRow="0" w:firstColumn="1" w:lastColumn="0" w:noHBand="0" w:noVBand="1"/>
      </w:tblPr>
      <w:tblGrid>
        <w:gridCol w:w="1811"/>
        <w:gridCol w:w="1303"/>
        <w:gridCol w:w="1303"/>
        <w:gridCol w:w="1303"/>
        <w:gridCol w:w="1303"/>
        <w:gridCol w:w="1303"/>
        <w:gridCol w:w="1303"/>
      </w:tblGrid>
      <w:tr w:rsidR="008F0908" w:rsidRPr="0099632B" w14:paraId="2045A4AB" w14:textId="77777777" w:rsidTr="000710FB">
        <w:trPr>
          <w:tblHeader/>
        </w:trPr>
        <w:tc>
          <w:tcPr>
            <w:tcW w:w="1811" w:type="dxa"/>
            <w:shd w:val="clear" w:color="auto" w:fill="D9D9D9" w:themeFill="background1" w:themeFillShade="D9"/>
          </w:tcPr>
          <w:p w14:paraId="2B2689EE" w14:textId="77777777" w:rsidR="008F0908" w:rsidRPr="00B82E1F" w:rsidRDefault="008F0908" w:rsidP="008F0908">
            <w:pPr>
              <w:rPr>
                <w:rFonts w:ascii="Arial" w:hAnsi="Arial" w:cs="Arial"/>
                <w:color w:val="000000"/>
                <w:sz w:val="20"/>
                <w:szCs w:val="20"/>
              </w:rPr>
            </w:pPr>
            <w:bookmarkStart w:id="57" w:name="Title_15" w:colFirst="0" w:colLast="0"/>
          </w:p>
        </w:tc>
        <w:tc>
          <w:tcPr>
            <w:tcW w:w="1303" w:type="dxa"/>
            <w:shd w:val="clear" w:color="auto" w:fill="D9D9D9" w:themeFill="background1" w:themeFillShade="D9"/>
          </w:tcPr>
          <w:p w14:paraId="008643E9" w14:textId="78E97C66" w:rsidR="008F0908" w:rsidRPr="0099632B" w:rsidRDefault="008F0908" w:rsidP="008F0908">
            <w:pPr>
              <w:rPr>
                <w:rFonts w:ascii="Arial" w:hAnsi="Arial" w:cs="Arial"/>
                <w:color w:val="000000"/>
                <w:sz w:val="20"/>
                <w:szCs w:val="20"/>
              </w:rPr>
            </w:pPr>
            <w:r w:rsidRPr="0099632B">
              <w:rPr>
                <w:rFonts w:ascii="Arial" w:hAnsi="Arial" w:cs="Arial"/>
                <w:b/>
              </w:rPr>
              <w:t>2018-19</w:t>
            </w:r>
          </w:p>
        </w:tc>
        <w:tc>
          <w:tcPr>
            <w:tcW w:w="1303" w:type="dxa"/>
            <w:shd w:val="clear" w:color="auto" w:fill="D9D9D9" w:themeFill="background1" w:themeFillShade="D9"/>
          </w:tcPr>
          <w:p w14:paraId="39E7E9F5" w14:textId="7A3FC03C" w:rsidR="008F0908" w:rsidRPr="0099632B" w:rsidRDefault="008F0908" w:rsidP="008F0908">
            <w:pPr>
              <w:rPr>
                <w:rFonts w:ascii="Arial" w:hAnsi="Arial" w:cs="Arial"/>
                <w:color w:val="000000"/>
                <w:sz w:val="20"/>
                <w:szCs w:val="20"/>
              </w:rPr>
            </w:pPr>
            <w:r w:rsidRPr="0099632B">
              <w:rPr>
                <w:rFonts w:ascii="Arial" w:hAnsi="Arial" w:cs="Arial"/>
                <w:b/>
              </w:rPr>
              <w:t>2019-20</w:t>
            </w:r>
          </w:p>
        </w:tc>
        <w:tc>
          <w:tcPr>
            <w:tcW w:w="1303" w:type="dxa"/>
            <w:shd w:val="clear" w:color="auto" w:fill="D9D9D9" w:themeFill="background1" w:themeFillShade="D9"/>
          </w:tcPr>
          <w:p w14:paraId="11072B35" w14:textId="03A86B06" w:rsidR="008F0908" w:rsidRPr="0099632B" w:rsidRDefault="008F0908" w:rsidP="008F0908">
            <w:pPr>
              <w:rPr>
                <w:rFonts w:ascii="Arial" w:hAnsi="Arial" w:cs="Arial"/>
                <w:color w:val="000000"/>
                <w:sz w:val="20"/>
                <w:szCs w:val="20"/>
              </w:rPr>
            </w:pPr>
            <w:r w:rsidRPr="0099632B">
              <w:rPr>
                <w:rFonts w:ascii="Arial" w:hAnsi="Arial" w:cs="Arial"/>
                <w:b/>
              </w:rPr>
              <w:t>2020-21</w:t>
            </w:r>
          </w:p>
        </w:tc>
        <w:tc>
          <w:tcPr>
            <w:tcW w:w="1303" w:type="dxa"/>
            <w:shd w:val="clear" w:color="auto" w:fill="D9D9D9" w:themeFill="background1" w:themeFillShade="D9"/>
          </w:tcPr>
          <w:p w14:paraId="5B114EF8" w14:textId="7D69A953" w:rsidR="008F0908" w:rsidRPr="0099632B" w:rsidRDefault="008F0908" w:rsidP="008F0908">
            <w:pPr>
              <w:rPr>
                <w:rFonts w:ascii="Arial" w:hAnsi="Arial" w:cs="Arial"/>
                <w:color w:val="000000"/>
                <w:sz w:val="20"/>
                <w:szCs w:val="20"/>
              </w:rPr>
            </w:pPr>
            <w:r w:rsidRPr="0099632B">
              <w:rPr>
                <w:rFonts w:ascii="Arial" w:hAnsi="Arial" w:cs="Arial"/>
                <w:b/>
              </w:rPr>
              <w:t>2021-22</w:t>
            </w:r>
          </w:p>
        </w:tc>
        <w:tc>
          <w:tcPr>
            <w:tcW w:w="1303" w:type="dxa"/>
            <w:shd w:val="clear" w:color="auto" w:fill="D9D9D9" w:themeFill="background1" w:themeFillShade="D9"/>
          </w:tcPr>
          <w:p w14:paraId="420F5B35" w14:textId="47997980" w:rsidR="008F0908" w:rsidRPr="0099632B" w:rsidRDefault="008F0908" w:rsidP="008F0908">
            <w:pPr>
              <w:rPr>
                <w:rFonts w:ascii="Arial" w:hAnsi="Arial" w:cs="Arial"/>
                <w:color w:val="000000"/>
                <w:sz w:val="20"/>
                <w:szCs w:val="20"/>
              </w:rPr>
            </w:pPr>
            <w:r w:rsidRPr="0099632B">
              <w:rPr>
                <w:rFonts w:ascii="Arial" w:hAnsi="Arial" w:cs="Arial"/>
                <w:b/>
              </w:rPr>
              <w:t>2022-23</w:t>
            </w:r>
          </w:p>
        </w:tc>
        <w:tc>
          <w:tcPr>
            <w:tcW w:w="1303" w:type="dxa"/>
            <w:shd w:val="clear" w:color="auto" w:fill="D9D9D9" w:themeFill="background1" w:themeFillShade="D9"/>
          </w:tcPr>
          <w:p w14:paraId="622AD54C" w14:textId="02B6704F" w:rsidR="008F0908" w:rsidRPr="0099632B" w:rsidRDefault="008F0908" w:rsidP="008F0908">
            <w:pPr>
              <w:rPr>
                <w:rFonts w:ascii="Arial" w:hAnsi="Arial" w:cs="Arial"/>
                <w:color w:val="000000"/>
                <w:sz w:val="20"/>
                <w:szCs w:val="20"/>
              </w:rPr>
            </w:pPr>
            <w:r w:rsidRPr="0099632B">
              <w:rPr>
                <w:rFonts w:ascii="Arial" w:hAnsi="Arial" w:cs="Arial"/>
                <w:b/>
              </w:rPr>
              <w:t>2023-24</w:t>
            </w:r>
          </w:p>
        </w:tc>
      </w:tr>
      <w:bookmarkEnd w:id="57"/>
      <w:tr w:rsidR="00777791" w:rsidRPr="0099632B" w14:paraId="3F6461F9" w14:textId="77777777" w:rsidTr="00C12CA5">
        <w:tc>
          <w:tcPr>
            <w:tcW w:w="1811" w:type="dxa"/>
            <w:shd w:val="clear" w:color="auto" w:fill="D9D9D9" w:themeFill="background1" w:themeFillShade="D9"/>
          </w:tcPr>
          <w:p w14:paraId="27250125" w14:textId="0057D643"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Direct GVA (%)</w:t>
            </w:r>
          </w:p>
        </w:tc>
        <w:tc>
          <w:tcPr>
            <w:tcW w:w="1303" w:type="dxa"/>
          </w:tcPr>
          <w:p w14:paraId="51A9B338" w14:textId="13E79B21"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2.9%</w:t>
            </w:r>
          </w:p>
        </w:tc>
        <w:tc>
          <w:tcPr>
            <w:tcW w:w="1303" w:type="dxa"/>
          </w:tcPr>
          <w:p w14:paraId="764D4FD2" w14:textId="54FC4BFE"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2.3%</w:t>
            </w:r>
          </w:p>
        </w:tc>
        <w:tc>
          <w:tcPr>
            <w:tcW w:w="1303" w:type="dxa"/>
          </w:tcPr>
          <w:p w14:paraId="0EFC1B63" w14:textId="7F90DA62"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1.0%</w:t>
            </w:r>
          </w:p>
        </w:tc>
        <w:tc>
          <w:tcPr>
            <w:tcW w:w="1303" w:type="dxa"/>
          </w:tcPr>
          <w:p w14:paraId="78B34E3F" w14:textId="4E2101C2"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1.4%</w:t>
            </w:r>
          </w:p>
        </w:tc>
        <w:tc>
          <w:tcPr>
            <w:tcW w:w="1303" w:type="dxa"/>
          </w:tcPr>
          <w:p w14:paraId="11CDCA50" w14:textId="269AFEC1"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2.5%</w:t>
            </w:r>
          </w:p>
        </w:tc>
        <w:tc>
          <w:tcPr>
            <w:tcW w:w="1303" w:type="dxa"/>
          </w:tcPr>
          <w:p w14:paraId="1ED7299E" w14:textId="6AFEAAE1"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2.7%</w:t>
            </w:r>
          </w:p>
        </w:tc>
      </w:tr>
      <w:tr w:rsidR="00777791" w:rsidRPr="0099632B" w14:paraId="02045490" w14:textId="77777777" w:rsidTr="00C12CA5">
        <w:tc>
          <w:tcPr>
            <w:tcW w:w="1811" w:type="dxa"/>
            <w:shd w:val="clear" w:color="auto" w:fill="D9D9D9" w:themeFill="background1" w:themeFillShade="D9"/>
          </w:tcPr>
          <w:p w14:paraId="090F638E" w14:textId="58C29813"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Indirect GVA (%)</w:t>
            </w:r>
          </w:p>
        </w:tc>
        <w:tc>
          <w:tcPr>
            <w:tcW w:w="1303" w:type="dxa"/>
          </w:tcPr>
          <w:p w14:paraId="2E6AE6C0" w14:textId="456CE870"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3.2%</w:t>
            </w:r>
          </w:p>
        </w:tc>
        <w:tc>
          <w:tcPr>
            <w:tcW w:w="1303" w:type="dxa"/>
          </w:tcPr>
          <w:p w14:paraId="56231503" w14:textId="5A7948B5"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2.5%</w:t>
            </w:r>
          </w:p>
        </w:tc>
        <w:tc>
          <w:tcPr>
            <w:tcW w:w="1303" w:type="dxa"/>
          </w:tcPr>
          <w:p w14:paraId="1AE9F5F3" w14:textId="36592F5A"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1.2%</w:t>
            </w:r>
          </w:p>
        </w:tc>
        <w:tc>
          <w:tcPr>
            <w:tcW w:w="1303" w:type="dxa"/>
          </w:tcPr>
          <w:p w14:paraId="1C8D274C" w14:textId="710CFFFE"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1.7%</w:t>
            </w:r>
          </w:p>
        </w:tc>
        <w:tc>
          <w:tcPr>
            <w:tcW w:w="1303" w:type="dxa"/>
          </w:tcPr>
          <w:p w14:paraId="6E29550A" w14:textId="295B90EB"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2.8%</w:t>
            </w:r>
          </w:p>
        </w:tc>
        <w:tc>
          <w:tcPr>
            <w:tcW w:w="1303" w:type="dxa"/>
          </w:tcPr>
          <w:p w14:paraId="42B056F2" w14:textId="1FC98BDA"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2.9%</w:t>
            </w:r>
          </w:p>
        </w:tc>
      </w:tr>
      <w:tr w:rsidR="00777791" w:rsidRPr="0099632B" w14:paraId="499C8EBD" w14:textId="77777777" w:rsidTr="00C12CA5">
        <w:tc>
          <w:tcPr>
            <w:tcW w:w="1811" w:type="dxa"/>
            <w:shd w:val="clear" w:color="auto" w:fill="D9D9D9" w:themeFill="background1" w:themeFillShade="D9"/>
          </w:tcPr>
          <w:p w14:paraId="7B2CD932" w14:textId="248ADF81" w:rsidR="00777791" w:rsidRPr="0099632B" w:rsidRDefault="00777791" w:rsidP="00777791">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Total GVA (%)</w:t>
            </w:r>
          </w:p>
        </w:tc>
        <w:tc>
          <w:tcPr>
            <w:tcW w:w="1303" w:type="dxa"/>
          </w:tcPr>
          <w:p w14:paraId="02955EE9" w14:textId="2FF0D8F0"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6.1%</w:t>
            </w:r>
          </w:p>
        </w:tc>
        <w:tc>
          <w:tcPr>
            <w:tcW w:w="1303" w:type="dxa"/>
          </w:tcPr>
          <w:p w14:paraId="3766D1E8" w14:textId="53F75F05"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4.8%</w:t>
            </w:r>
          </w:p>
        </w:tc>
        <w:tc>
          <w:tcPr>
            <w:tcW w:w="1303" w:type="dxa"/>
          </w:tcPr>
          <w:p w14:paraId="7E8F9323" w14:textId="63A4C524"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2.2%</w:t>
            </w:r>
          </w:p>
        </w:tc>
        <w:tc>
          <w:tcPr>
            <w:tcW w:w="1303" w:type="dxa"/>
          </w:tcPr>
          <w:p w14:paraId="650C9F19" w14:textId="04F3839B"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3.0%</w:t>
            </w:r>
          </w:p>
        </w:tc>
        <w:tc>
          <w:tcPr>
            <w:tcW w:w="1303" w:type="dxa"/>
          </w:tcPr>
          <w:p w14:paraId="304065D0" w14:textId="32801984"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5.3%</w:t>
            </w:r>
          </w:p>
        </w:tc>
        <w:tc>
          <w:tcPr>
            <w:tcW w:w="1303" w:type="dxa"/>
          </w:tcPr>
          <w:p w14:paraId="318EAD56" w14:textId="29D56AE2" w:rsidR="00777791" w:rsidRPr="0099632B" w:rsidRDefault="00777791" w:rsidP="00777791">
            <w:pPr>
              <w:rPr>
                <w:rFonts w:ascii="Arial" w:eastAsiaTheme="majorEastAsia" w:hAnsi="Arial" w:cs="Arial"/>
                <w:color w:val="2F5496" w:themeColor="accent1" w:themeShade="BF"/>
                <w:sz w:val="24"/>
                <w:szCs w:val="24"/>
              </w:rPr>
            </w:pPr>
            <w:r w:rsidRPr="0099632B">
              <w:rPr>
                <w:rFonts w:ascii="Arial" w:hAnsi="Arial" w:cs="Arial"/>
              </w:rPr>
              <w:t>5.6%</w:t>
            </w:r>
          </w:p>
        </w:tc>
      </w:tr>
    </w:tbl>
    <w:p w14:paraId="3466783E" w14:textId="77777777" w:rsidR="00833B65" w:rsidRPr="0099632B" w:rsidRDefault="00833B65" w:rsidP="001849BC">
      <w:pPr>
        <w:pStyle w:val="NoSpacing"/>
        <w:rPr>
          <w:rFonts w:ascii="Arial" w:eastAsiaTheme="majorEastAsia" w:hAnsi="Arial" w:cs="Arial"/>
        </w:rPr>
      </w:pPr>
    </w:p>
    <w:p w14:paraId="4935DCB6" w14:textId="65752BDF" w:rsidR="00C633FF" w:rsidRPr="00B82E1F" w:rsidRDefault="00A71CCE" w:rsidP="00313271">
      <w:pPr>
        <w:pStyle w:val="Heading3"/>
        <w:spacing w:after="120"/>
        <w:rPr>
          <w:rFonts w:ascii="Arial" w:eastAsiaTheme="minorHAnsi" w:hAnsi="Arial" w:cs="Arial"/>
          <w:color w:val="002060"/>
        </w:rPr>
      </w:pPr>
      <w:r w:rsidRPr="0099632B">
        <w:rPr>
          <w:rFonts w:ascii="Arial" w:eastAsiaTheme="minorHAnsi" w:hAnsi="Arial" w:cs="Arial"/>
          <w:color w:val="002060"/>
        </w:rPr>
        <w:t xml:space="preserve">9.1.3 </w:t>
      </w:r>
      <w:r w:rsidR="00142E69" w:rsidRPr="0099632B">
        <w:rPr>
          <w:rFonts w:ascii="Arial" w:eastAsiaTheme="minorHAnsi" w:hAnsi="Arial" w:cs="Arial"/>
          <w:color w:val="002060"/>
        </w:rPr>
        <w:t>Percentage</w:t>
      </w:r>
      <w:r w:rsidR="00C633FF" w:rsidRPr="0099632B">
        <w:rPr>
          <w:rFonts w:ascii="Arial" w:eastAsiaTheme="minorHAnsi" w:hAnsi="Arial" w:cs="Arial"/>
          <w:color w:val="002060"/>
        </w:rPr>
        <w:t xml:space="preserve"> change in </w:t>
      </w:r>
      <w:r w:rsidR="00D31433" w:rsidRPr="0099632B">
        <w:rPr>
          <w:rFonts w:ascii="Arial" w:eastAsiaTheme="minorHAnsi" w:hAnsi="Arial" w:cs="Arial"/>
          <w:color w:val="002060"/>
        </w:rPr>
        <w:t xml:space="preserve">the volume of </w:t>
      </w:r>
      <w:r w:rsidR="00C633FF" w:rsidRPr="0099632B">
        <w:rPr>
          <w:rFonts w:ascii="Arial" w:eastAsiaTheme="minorHAnsi" w:hAnsi="Arial" w:cs="Arial"/>
          <w:color w:val="002060"/>
        </w:rPr>
        <w:t>direct, indirect and total Gross Value Added (GVA) in Victoria compared to previous financial years</w:t>
      </w:r>
      <w:r w:rsidR="00C633FF" w:rsidRPr="00B82E1F">
        <w:rPr>
          <w:rFonts w:ascii="Arial" w:eastAsiaTheme="minorHAnsi" w:hAnsi="Arial" w:cs="Arial"/>
          <w:color w:val="002060"/>
        </w:rPr>
        <w:t xml:space="preserve"> </w:t>
      </w:r>
    </w:p>
    <w:tbl>
      <w:tblPr>
        <w:tblStyle w:val="TableGrid"/>
        <w:tblW w:w="9634" w:type="dxa"/>
        <w:tblLayout w:type="fixed"/>
        <w:tblLook w:val="04A0" w:firstRow="1" w:lastRow="0" w:firstColumn="1" w:lastColumn="0" w:noHBand="0" w:noVBand="1"/>
      </w:tblPr>
      <w:tblGrid>
        <w:gridCol w:w="1814"/>
        <w:gridCol w:w="4135"/>
        <w:gridCol w:w="3685"/>
      </w:tblGrid>
      <w:tr w:rsidR="00CD19DC" w:rsidRPr="0099632B" w14:paraId="1D5478F4" w14:textId="77777777" w:rsidTr="00EA0954">
        <w:trPr>
          <w:tblHeader/>
        </w:trPr>
        <w:tc>
          <w:tcPr>
            <w:tcW w:w="1814" w:type="dxa"/>
            <w:shd w:val="clear" w:color="auto" w:fill="D9D9D9" w:themeFill="background1" w:themeFillShade="D9"/>
          </w:tcPr>
          <w:p w14:paraId="5A1FA416" w14:textId="77777777" w:rsidR="00CD19DC" w:rsidRPr="0099632B" w:rsidRDefault="00CD19DC" w:rsidP="00FF14C1">
            <w:pPr>
              <w:rPr>
                <w:rFonts w:ascii="Arial" w:eastAsiaTheme="majorEastAsia" w:hAnsi="Arial" w:cs="Arial"/>
                <w:b/>
                <w:bCs/>
                <w:color w:val="2F5496" w:themeColor="accent1" w:themeShade="BF"/>
                <w:sz w:val="24"/>
                <w:szCs w:val="24"/>
              </w:rPr>
            </w:pPr>
            <w:bookmarkStart w:id="58" w:name="Title_16" w:colFirst="0" w:colLast="0"/>
          </w:p>
        </w:tc>
        <w:tc>
          <w:tcPr>
            <w:tcW w:w="4135" w:type="dxa"/>
            <w:shd w:val="clear" w:color="auto" w:fill="D9D9D9" w:themeFill="background1" w:themeFillShade="D9"/>
          </w:tcPr>
          <w:p w14:paraId="50151651" w14:textId="56341139" w:rsidR="00CD19DC" w:rsidRPr="0099632B" w:rsidRDefault="00CD19DC" w:rsidP="00FF14C1">
            <w:pPr>
              <w:rPr>
                <w:rFonts w:ascii="Arial" w:eastAsiaTheme="majorEastAsia" w:hAnsi="Arial" w:cs="Arial"/>
                <w:color w:val="2F5496" w:themeColor="accent1" w:themeShade="BF"/>
                <w:sz w:val="24"/>
                <w:szCs w:val="24"/>
              </w:rPr>
            </w:pPr>
            <w:r w:rsidRPr="0099632B">
              <w:rPr>
                <w:rFonts w:ascii="Arial" w:hAnsi="Arial" w:cs="Arial"/>
                <w:b/>
                <w:bCs/>
                <w:sz w:val="20"/>
                <w:szCs w:val="20"/>
              </w:rPr>
              <w:t>Year-on year change 2022-23 to 2023-24</w:t>
            </w:r>
          </w:p>
        </w:tc>
        <w:tc>
          <w:tcPr>
            <w:tcW w:w="3685" w:type="dxa"/>
            <w:shd w:val="clear" w:color="auto" w:fill="D9D9D9" w:themeFill="background1" w:themeFillShade="D9"/>
          </w:tcPr>
          <w:p w14:paraId="54060FB8" w14:textId="49C5ED77" w:rsidR="00CD19DC" w:rsidRPr="0099632B" w:rsidRDefault="00CD19DC" w:rsidP="00FF14C1">
            <w:pPr>
              <w:rPr>
                <w:rFonts w:ascii="Arial" w:eastAsiaTheme="majorEastAsia" w:hAnsi="Arial" w:cs="Arial"/>
                <w:color w:val="2F5496" w:themeColor="accent1" w:themeShade="BF"/>
                <w:sz w:val="24"/>
                <w:szCs w:val="24"/>
              </w:rPr>
            </w:pPr>
            <w:r w:rsidRPr="0099632B">
              <w:rPr>
                <w:rFonts w:ascii="Arial" w:hAnsi="Arial" w:cs="Arial"/>
                <w:b/>
                <w:bCs/>
                <w:sz w:val="20"/>
                <w:szCs w:val="20"/>
              </w:rPr>
              <w:t xml:space="preserve">5 </w:t>
            </w:r>
            <w:proofErr w:type="gramStart"/>
            <w:r w:rsidRPr="0099632B">
              <w:rPr>
                <w:rFonts w:ascii="Arial" w:hAnsi="Arial" w:cs="Arial"/>
                <w:b/>
                <w:bCs/>
                <w:sz w:val="20"/>
                <w:szCs w:val="20"/>
              </w:rPr>
              <w:t>year</w:t>
            </w:r>
            <w:proofErr w:type="gramEnd"/>
            <w:r w:rsidRPr="0099632B">
              <w:rPr>
                <w:rFonts w:ascii="Arial" w:hAnsi="Arial" w:cs="Arial"/>
                <w:b/>
                <w:bCs/>
                <w:sz w:val="20"/>
                <w:szCs w:val="20"/>
              </w:rPr>
              <w:t xml:space="preserve"> change 2018-19 to 2023-24</w:t>
            </w:r>
          </w:p>
        </w:tc>
      </w:tr>
      <w:bookmarkEnd w:id="58"/>
      <w:tr w:rsidR="00CD19DC" w:rsidRPr="0099632B" w14:paraId="419E318F" w14:textId="77777777" w:rsidTr="00EA0954">
        <w:tc>
          <w:tcPr>
            <w:tcW w:w="1814" w:type="dxa"/>
            <w:shd w:val="clear" w:color="auto" w:fill="D9D9D9" w:themeFill="background1" w:themeFillShade="D9"/>
          </w:tcPr>
          <w:p w14:paraId="4CB0DC6A" w14:textId="5BCF995A" w:rsidR="00CD19DC" w:rsidRPr="0099632B" w:rsidRDefault="00CD19DC" w:rsidP="000774ED">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 xml:space="preserve">Direct GVA </w:t>
            </w:r>
          </w:p>
        </w:tc>
        <w:tc>
          <w:tcPr>
            <w:tcW w:w="4135" w:type="dxa"/>
          </w:tcPr>
          <w:p w14:paraId="28AF2DFE" w14:textId="3F92CD57" w:rsidR="00CD19DC" w:rsidRPr="0099632B" w:rsidRDefault="00CD19DC" w:rsidP="000774ED">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2E2098" w:rsidRPr="0099632B">
              <w:rPr>
                <w:rFonts w:ascii="Arial" w:hAnsi="Arial" w:cs="Arial"/>
              </w:rPr>
              <w:t>15</w:t>
            </w:r>
            <w:r w:rsidRPr="0099632B">
              <w:rPr>
                <w:rFonts w:ascii="Arial" w:hAnsi="Arial" w:cs="Arial"/>
              </w:rPr>
              <w:t xml:space="preserve">% compared to 2022-23 financial year </w:t>
            </w:r>
          </w:p>
        </w:tc>
        <w:tc>
          <w:tcPr>
            <w:tcW w:w="3685" w:type="dxa"/>
          </w:tcPr>
          <w:p w14:paraId="638438FF" w14:textId="7D798A33" w:rsidR="00CD19DC" w:rsidRPr="0099632B" w:rsidRDefault="002E2098" w:rsidP="000774ED">
            <w:pPr>
              <w:rPr>
                <w:rFonts w:ascii="Arial" w:eastAsiaTheme="majorEastAsia" w:hAnsi="Arial" w:cs="Arial"/>
                <w:color w:val="2F5496" w:themeColor="accent1" w:themeShade="BF"/>
                <w:sz w:val="24"/>
                <w:szCs w:val="24"/>
              </w:rPr>
            </w:pPr>
            <w:r w:rsidRPr="0099632B">
              <w:rPr>
                <w:rFonts w:ascii="Arial" w:hAnsi="Arial" w:cs="Arial"/>
              </w:rPr>
              <w:t>In</w:t>
            </w:r>
            <w:r w:rsidR="00CD19DC" w:rsidRPr="0099632B">
              <w:rPr>
                <w:rFonts w:ascii="Arial" w:hAnsi="Arial" w:cs="Arial"/>
              </w:rPr>
              <w:t xml:space="preserve">creased </w:t>
            </w:r>
            <w:r w:rsidRPr="0099632B">
              <w:rPr>
                <w:rFonts w:ascii="Arial" w:hAnsi="Arial" w:cs="Arial"/>
              </w:rPr>
              <w:t>23</w:t>
            </w:r>
            <w:r w:rsidR="00CD19DC" w:rsidRPr="0099632B">
              <w:rPr>
                <w:rFonts w:ascii="Arial" w:hAnsi="Arial" w:cs="Arial"/>
              </w:rPr>
              <w:t xml:space="preserve">% compared to 2018-19 financial year </w:t>
            </w:r>
          </w:p>
        </w:tc>
      </w:tr>
      <w:tr w:rsidR="00CD19DC" w:rsidRPr="0099632B" w14:paraId="1122FB43" w14:textId="77777777" w:rsidTr="00EA0954">
        <w:tc>
          <w:tcPr>
            <w:tcW w:w="1814" w:type="dxa"/>
            <w:shd w:val="clear" w:color="auto" w:fill="D9D9D9" w:themeFill="background1" w:themeFillShade="D9"/>
          </w:tcPr>
          <w:p w14:paraId="6CE01A7B" w14:textId="568F8AE0" w:rsidR="00CD19DC" w:rsidRPr="0099632B" w:rsidRDefault="00CD19DC" w:rsidP="004F1B6E">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 xml:space="preserve">Indirect GVA </w:t>
            </w:r>
          </w:p>
        </w:tc>
        <w:tc>
          <w:tcPr>
            <w:tcW w:w="4135" w:type="dxa"/>
          </w:tcPr>
          <w:p w14:paraId="72BB7150" w14:textId="5F50C818" w:rsidR="00CD19DC" w:rsidRPr="0099632B" w:rsidRDefault="00CD19DC" w:rsidP="004F1B6E">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2E2098" w:rsidRPr="0099632B">
              <w:rPr>
                <w:rFonts w:ascii="Arial" w:hAnsi="Arial" w:cs="Arial"/>
              </w:rPr>
              <w:t>10</w:t>
            </w:r>
            <w:r w:rsidRPr="0099632B">
              <w:rPr>
                <w:rFonts w:ascii="Arial" w:hAnsi="Arial" w:cs="Arial"/>
              </w:rPr>
              <w:t xml:space="preserve">% compared to 2022-23 financial year </w:t>
            </w:r>
          </w:p>
        </w:tc>
        <w:tc>
          <w:tcPr>
            <w:tcW w:w="3685" w:type="dxa"/>
          </w:tcPr>
          <w:p w14:paraId="1BF702C6" w14:textId="6ED7BDBC" w:rsidR="00CD19DC" w:rsidRPr="0099632B" w:rsidRDefault="002E2098" w:rsidP="004F1B6E">
            <w:pPr>
              <w:rPr>
                <w:rFonts w:ascii="Arial" w:eastAsiaTheme="majorEastAsia" w:hAnsi="Arial" w:cs="Arial"/>
                <w:color w:val="2F5496" w:themeColor="accent1" w:themeShade="BF"/>
                <w:sz w:val="24"/>
                <w:szCs w:val="24"/>
              </w:rPr>
            </w:pPr>
            <w:r w:rsidRPr="0099632B">
              <w:rPr>
                <w:rFonts w:ascii="Arial" w:hAnsi="Arial" w:cs="Arial"/>
              </w:rPr>
              <w:t>In</w:t>
            </w:r>
            <w:r w:rsidR="00CD19DC" w:rsidRPr="0099632B">
              <w:rPr>
                <w:rFonts w:ascii="Arial" w:hAnsi="Arial" w:cs="Arial"/>
              </w:rPr>
              <w:t xml:space="preserve">creased </w:t>
            </w:r>
            <w:r w:rsidRPr="0099632B">
              <w:rPr>
                <w:rFonts w:ascii="Arial" w:hAnsi="Arial" w:cs="Arial"/>
              </w:rPr>
              <w:t>20</w:t>
            </w:r>
            <w:r w:rsidR="00CD19DC" w:rsidRPr="0099632B">
              <w:rPr>
                <w:rFonts w:ascii="Arial" w:hAnsi="Arial" w:cs="Arial"/>
              </w:rPr>
              <w:t xml:space="preserve">% compared to 2018-19 financial year </w:t>
            </w:r>
          </w:p>
        </w:tc>
      </w:tr>
      <w:tr w:rsidR="00CD19DC" w:rsidRPr="0099632B" w14:paraId="7A01F5EE" w14:textId="77777777" w:rsidTr="00EA0954">
        <w:tc>
          <w:tcPr>
            <w:tcW w:w="1814" w:type="dxa"/>
            <w:shd w:val="clear" w:color="auto" w:fill="D9D9D9" w:themeFill="background1" w:themeFillShade="D9"/>
          </w:tcPr>
          <w:p w14:paraId="060DEE78" w14:textId="04373F99" w:rsidR="00CD19DC" w:rsidRPr="0099632B" w:rsidRDefault="00CD19DC" w:rsidP="004F1B6E">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 xml:space="preserve">Total GVA </w:t>
            </w:r>
          </w:p>
        </w:tc>
        <w:tc>
          <w:tcPr>
            <w:tcW w:w="4135" w:type="dxa"/>
          </w:tcPr>
          <w:p w14:paraId="1D95E392" w14:textId="4CDF66C2" w:rsidR="00CD19DC" w:rsidRPr="0099632B" w:rsidRDefault="00CD19DC" w:rsidP="004F1B6E">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2E2098" w:rsidRPr="0099632B">
              <w:rPr>
                <w:rFonts w:ascii="Arial" w:hAnsi="Arial" w:cs="Arial"/>
              </w:rPr>
              <w:t>12</w:t>
            </w:r>
            <w:r w:rsidRPr="0099632B">
              <w:rPr>
                <w:rFonts w:ascii="Arial" w:hAnsi="Arial" w:cs="Arial"/>
              </w:rPr>
              <w:t xml:space="preserve">% compared to 2022-23 financial year </w:t>
            </w:r>
          </w:p>
        </w:tc>
        <w:tc>
          <w:tcPr>
            <w:tcW w:w="3685" w:type="dxa"/>
          </w:tcPr>
          <w:p w14:paraId="1A480825" w14:textId="3F35AEC7" w:rsidR="00CD19DC" w:rsidRPr="0099632B" w:rsidRDefault="002E2098" w:rsidP="004F1B6E">
            <w:pPr>
              <w:rPr>
                <w:rFonts w:ascii="Arial" w:eastAsiaTheme="majorEastAsia" w:hAnsi="Arial" w:cs="Arial"/>
                <w:color w:val="2F5496" w:themeColor="accent1" w:themeShade="BF"/>
                <w:sz w:val="24"/>
                <w:szCs w:val="24"/>
              </w:rPr>
            </w:pPr>
            <w:r w:rsidRPr="0099632B">
              <w:rPr>
                <w:rFonts w:ascii="Arial" w:hAnsi="Arial" w:cs="Arial"/>
              </w:rPr>
              <w:t>In</w:t>
            </w:r>
            <w:r w:rsidR="00CD19DC" w:rsidRPr="0099632B">
              <w:rPr>
                <w:rFonts w:ascii="Arial" w:hAnsi="Arial" w:cs="Arial"/>
              </w:rPr>
              <w:t xml:space="preserve">creased </w:t>
            </w:r>
            <w:r w:rsidRPr="0099632B">
              <w:rPr>
                <w:rFonts w:ascii="Arial" w:hAnsi="Arial" w:cs="Arial"/>
              </w:rPr>
              <w:t>21</w:t>
            </w:r>
            <w:r w:rsidR="00CD19DC" w:rsidRPr="0099632B">
              <w:rPr>
                <w:rFonts w:ascii="Arial" w:hAnsi="Arial" w:cs="Arial"/>
              </w:rPr>
              <w:t xml:space="preserve">% compared to 2018-19 financial year </w:t>
            </w:r>
          </w:p>
        </w:tc>
      </w:tr>
    </w:tbl>
    <w:p w14:paraId="2D4F41D0" w14:textId="77777777" w:rsidR="00391B3D" w:rsidRPr="0099632B" w:rsidRDefault="00391B3D" w:rsidP="001849BC">
      <w:pPr>
        <w:pStyle w:val="NoSpacing"/>
        <w:rPr>
          <w:rFonts w:ascii="Arial" w:hAnsi="Arial" w:cs="Arial"/>
        </w:rPr>
      </w:pPr>
    </w:p>
    <w:p w14:paraId="63660824" w14:textId="4C16F0EF" w:rsidR="00BF3057" w:rsidRPr="0099632B" w:rsidRDefault="00A71CCE" w:rsidP="00313271">
      <w:pPr>
        <w:pStyle w:val="Heading3"/>
        <w:spacing w:after="120"/>
        <w:rPr>
          <w:rFonts w:ascii="Arial" w:eastAsiaTheme="minorHAnsi" w:hAnsi="Arial" w:cs="Arial"/>
          <w:color w:val="002060"/>
        </w:rPr>
      </w:pPr>
      <w:r w:rsidRPr="0099632B">
        <w:rPr>
          <w:rFonts w:ascii="Arial" w:eastAsiaTheme="minorHAnsi" w:hAnsi="Arial" w:cs="Arial"/>
          <w:color w:val="002060"/>
        </w:rPr>
        <w:t xml:space="preserve">9.1.4 </w:t>
      </w:r>
      <w:r w:rsidR="00142E69" w:rsidRPr="0099632B">
        <w:rPr>
          <w:rFonts w:ascii="Arial" w:eastAsiaTheme="minorHAnsi" w:hAnsi="Arial" w:cs="Arial"/>
          <w:color w:val="002060"/>
        </w:rPr>
        <w:t xml:space="preserve">Percentage </w:t>
      </w:r>
      <w:r w:rsidR="00BF3057" w:rsidRPr="0099632B">
        <w:rPr>
          <w:rFonts w:ascii="Arial" w:eastAsiaTheme="minorHAnsi" w:hAnsi="Arial" w:cs="Arial"/>
          <w:color w:val="002060"/>
        </w:rPr>
        <w:t xml:space="preserve">point change in the contribution of direct, indirect and total Gross Value Added (GVA) to Victoria’s economy compared to previous financial years </w:t>
      </w:r>
    </w:p>
    <w:tbl>
      <w:tblPr>
        <w:tblStyle w:val="TableGrid"/>
        <w:tblW w:w="9634" w:type="dxa"/>
        <w:tblLayout w:type="fixed"/>
        <w:tblLook w:val="04A0" w:firstRow="1" w:lastRow="0" w:firstColumn="1" w:lastColumn="0" w:noHBand="0" w:noVBand="1"/>
      </w:tblPr>
      <w:tblGrid>
        <w:gridCol w:w="1814"/>
        <w:gridCol w:w="4135"/>
        <w:gridCol w:w="3685"/>
      </w:tblGrid>
      <w:tr w:rsidR="00EA0954" w:rsidRPr="0099632B" w14:paraId="676EB142" w14:textId="77777777" w:rsidTr="00EA0954">
        <w:trPr>
          <w:tblHeader/>
        </w:trPr>
        <w:tc>
          <w:tcPr>
            <w:tcW w:w="1814" w:type="dxa"/>
            <w:shd w:val="clear" w:color="auto" w:fill="D9D9D9" w:themeFill="background1" w:themeFillShade="D9"/>
          </w:tcPr>
          <w:p w14:paraId="5DCC4DF5" w14:textId="77777777" w:rsidR="00EA0954" w:rsidRPr="0099632B" w:rsidRDefault="00EA0954" w:rsidP="00AB17CA">
            <w:pPr>
              <w:rPr>
                <w:rFonts w:ascii="Arial" w:hAnsi="Arial" w:cs="Arial"/>
                <w:color w:val="000000"/>
                <w:sz w:val="20"/>
                <w:szCs w:val="20"/>
              </w:rPr>
            </w:pPr>
            <w:bookmarkStart w:id="59" w:name="Title_17" w:colFirst="0" w:colLast="0"/>
          </w:p>
        </w:tc>
        <w:tc>
          <w:tcPr>
            <w:tcW w:w="4135" w:type="dxa"/>
          </w:tcPr>
          <w:p w14:paraId="4836EDF4" w14:textId="17028D51" w:rsidR="00EA0954" w:rsidRPr="0099632B" w:rsidRDefault="00EA0954" w:rsidP="00AB17CA">
            <w:pPr>
              <w:rPr>
                <w:rFonts w:ascii="Arial" w:hAnsi="Arial" w:cs="Arial"/>
              </w:rPr>
            </w:pPr>
            <w:r w:rsidRPr="0099632B">
              <w:rPr>
                <w:rFonts w:ascii="Arial" w:hAnsi="Arial" w:cs="Arial"/>
                <w:b/>
                <w:bCs/>
                <w:sz w:val="20"/>
                <w:szCs w:val="20"/>
              </w:rPr>
              <w:t>Year-on year change 2022-23 to 2023-24</w:t>
            </w:r>
          </w:p>
        </w:tc>
        <w:tc>
          <w:tcPr>
            <w:tcW w:w="3685" w:type="dxa"/>
          </w:tcPr>
          <w:p w14:paraId="7E539456" w14:textId="60F13ED5" w:rsidR="00EA0954" w:rsidRPr="0099632B" w:rsidRDefault="00EA0954" w:rsidP="00AB17CA">
            <w:pPr>
              <w:rPr>
                <w:rFonts w:ascii="Arial" w:hAnsi="Arial" w:cs="Arial"/>
              </w:rPr>
            </w:pPr>
            <w:r w:rsidRPr="0099632B">
              <w:rPr>
                <w:rFonts w:ascii="Arial" w:hAnsi="Arial" w:cs="Arial"/>
                <w:b/>
                <w:bCs/>
                <w:sz w:val="20"/>
                <w:szCs w:val="20"/>
              </w:rPr>
              <w:t xml:space="preserve">5 </w:t>
            </w:r>
            <w:proofErr w:type="gramStart"/>
            <w:r w:rsidRPr="0099632B">
              <w:rPr>
                <w:rFonts w:ascii="Arial" w:hAnsi="Arial" w:cs="Arial"/>
                <w:b/>
                <w:bCs/>
                <w:sz w:val="20"/>
                <w:szCs w:val="20"/>
              </w:rPr>
              <w:t>year</w:t>
            </w:r>
            <w:proofErr w:type="gramEnd"/>
            <w:r w:rsidRPr="0099632B">
              <w:rPr>
                <w:rFonts w:ascii="Arial" w:hAnsi="Arial" w:cs="Arial"/>
                <w:b/>
                <w:bCs/>
                <w:sz w:val="20"/>
                <w:szCs w:val="20"/>
              </w:rPr>
              <w:t xml:space="preserve"> change 2018-19 to 2023-24</w:t>
            </w:r>
          </w:p>
        </w:tc>
      </w:tr>
      <w:bookmarkEnd w:id="59"/>
      <w:tr w:rsidR="00EA0954" w:rsidRPr="0099632B" w14:paraId="39B3283F" w14:textId="77777777" w:rsidTr="00EA0954">
        <w:tc>
          <w:tcPr>
            <w:tcW w:w="1814" w:type="dxa"/>
            <w:shd w:val="clear" w:color="auto" w:fill="D9D9D9" w:themeFill="background1" w:themeFillShade="D9"/>
          </w:tcPr>
          <w:p w14:paraId="3844AB4A" w14:textId="39D03969"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 xml:space="preserve">Direct GVA </w:t>
            </w:r>
          </w:p>
        </w:tc>
        <w:tc>
          <w:tcPr>
            <w:tcW w:w="4135" w:type="dxa"/>
          </w:tcPr>
          <w:p w14:paraId="74F785A3" w14:textId="15C0B5B0"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rPr>
              <w:t>Increased 0.</w:t>
            </w:r>
            <w:r w:rsidR="00934BFB" w:rsidRPr="0099632B">
              <w:rPr>
                <w:rFonts w:ascii="Arial" w:hAnsi="Arial" w:cs="Arial"/>
              </w:rPr>
              <w:t>2</w:t>
            </w:r>
            <w:r w:rsidRPr="0099632B">
              <w:rPr>
                <w:rFonts w:ascii="Arial" w:hAnsi="Arial" w:cs="Arial"/>
              </w:rPr>
              <w:t xml:space="preserve">% points compared to 2022-23 financial year </w:t>
            </w:r>
          </w:p>
        </w:tc>
        <w:tc>
          <w:tcPr>
            <w:tcW w:w="3685" w:type="dxa"/>
          </w:tcPr>
          <w:p w14:paraId="56CEA8B0" w14:textId="14492F8D"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rPr>
              <w:t>Decreased 0.</w:t>
            </w:r>
            <w:r w:rsidR="00934BFB" w:rsidRPr="0099632B">
              <w:rPr>
                <w:rFonts w:ascii="Arial" w:hAnsi="Arial" w:cs="Arial"/>
              </w:rPr>
              <w:t>2</w:t>
            </w:r>
            <w:r w:rsidRPr="0099632B">
              <w:rPr>
                <w:rFonts w:ascii="Arial" w:hAnsi="Arial" w:cs="Arial"/>
              </w:rPr>
              <w:t xml:space="preserve">% points compared to 2018-19 financial year </w:t>
            </w:r>
          </w:p>
        </w:tc>
      </w:tr>
      <w:tr w:rsidR="00EA0954" w:rsidRPr="0099632B" w14:paraId="49EC9697" w14:textId="77777777" w:rsidTr="00EA0954">
        <w:tc>
          <w:tcPr>
            <w:tcW w:w="1814" w:type="dxa"/>
            <w:shd w:val="clear" w:color="auto" w:fill="D9D9D9" w:themeFill="background1" w:themeFillShade="D9"/>
          </w:tcPr>
          <w:p w14:paraId="291BDE91" w14:textId="07C20897"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 xml:space="preserve">Indirect GVA </w:t>
            </w:r>
          </w:p>
        </w:tc>
        <w:tc>
          <w:tcPr>
            <w:tcW w:w="4135" w:type="dxa"/>
          </w:tcPr>
          <w:p w14:paraId="117BADA4" w14:textId="51B9B1B5"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934BFB" w:rsidRPr="0099632B">
              <w:rPr>
                <w:rFonts w:ascii="Arial" w:hAnsi="Arial" w:cs="Arial"/>
              </w:rPr>
              <w:t>0.1</w:t>
            </w:r>
            <w:r w:rsidRPr="0099632B">
              <w:rPr>
                <w:rFonts w:ascii="Arial" w:hAnsi="Arial" w:cs="Arial"/>
              </w:rPr>
              <w:t xml:space="preserve">% point compared to 2022-23 financial year </w:t>
            </w:r>
          </w:p>
        </w:tc>
        <w:tc>
          <w:tcPr>
            <w:tcW w:w="3685" w:type="dxa"/>
          </w:tcPr>
          <w:p w14:paraId="50C12945" w14:textId="046874CE"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rPr>
              <w:t>Decreased 0.</w:t>
            </w:r>
            <w:r w:rsidR="00934BFB" w:rsidRPr="0099632B">
              <w:rPr>
                <w:rFonts w:ascii="Arial" w:hAnsi="Arial" w:cs="Arial"/>
              </w:rPr>
              <w:t>3</w:t>
            </w:r>
            <w:r w:rsidRPr="0099632B">
              <w:rPr>
                <w:rFonts w:ascii="Arial" w:hAnsi="Arial" w:cs="Arial"/>
              </w:rPr>
              <w:t xml:space="preserve">% points compared to 2018-19 financial year </w:t>
            </w:r>
          </w:p>
        </w:tc>
      </w:tr>
      <w:tr w:rsidR="00EA0954" w:rsidRPr="0099632B" w14:paraId="4878BF9E" w14:textId="77777777" w:rsidTr="00EA0954">
        <w:tc>
          <w:tcPr>
            <w:tcW w:w="1814" w:type="dxa"/>
            <w:shd w:val="clear" w:color="auto" w:fill="D9D9D9" w:themeFill="background1" w:themeFillShade="D9"/>
          </w:tcPr>
          <w:p w14:paraId="1459EF68" w14:textId="13178124" w:rsidR="00EA0954" w:rsidRPr="0099632B" w:rsidRDefault="00EA0954" w:rsidP="00391B3D">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 xml:space="preserve">Total GVA </w:t>
            </w:r>
          </w:p>
        </w:tc>
        <w:tc>
          <w:tcPr>
            <w:tcW w:w="4135" w:type="dxa"/>
          </w:tcPr>
          <w:p w14:paraId="59C6F030" w14:textId="59B909F3"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934BFB" w:rsidRPr="0099632B">
              <w:rPr>
                <w:rFonts w:ascii="Arial" w:hAnsi="Arial" w:cs="Arial"/>
              </w:rPr>
              <w:t>0.3</w:t>
            </w:r>
            <w:r w:rsidRPr="0099632B">
              <w:rPr>
                <w:rFonts w:ascii="Arial" w:hAnsi="Arial" w:cs="Arial"/>
              </w:rPr>
              <w:t xml:space="preserve">% points compared to 2022-23 financial year </w:t>
            </w:r>
          </w:p>
        </w:tc>
        <w:tc>
          <w:tcPr>
            <w:tcW w:w="3685" w:type="dxa"/>
          </w:tcPr>
          <w:p w14:paraId="3FF94DEF" w14:textId="07F74643" w:rsidR="00EA0954" w:rsidRPr="0099632B" w:rsidRDefault="00EA0954" w:rsidP="00391B3D">
            <w:pPr>
              <w:rPr>
                <w:rFonts w:ascii="Arial" w:eastAsiaTheme="majorEastAsia" w:hAnsi="Arial" w:cs="Arial"/>
                <w:color w:val="2F5496" w:themeColor="accent1" w:themeShade="BF"/>
                <w:sz w:val="24"/>
                <w:szCs w:val="24"/>
              </w:rPr>
            </w:pPr>
            <w:r w:rsidRPr="0099632B">
              <w:rPr>
                <w:rFonts w:ascii="Arial" w:hAnsi="Arial" w:cs="Arial"/>
              </w:rPr>
              <w:t xml:space="preserve">Decreased </w:t>
            </w:r>
            <w:r w:rsidR="00934BFB" w:rsidRPr="0099632B">
              <w:rPr>
                <w:rFonts w:ascii="Arial" w:hAnsi="Arial" w:cs="Arial"/>
              </w:rPr>
              <w:t>0.5</w:t>
            </w:r>
            <w:r w:rsidRPr="0099632B">
              <w:rPr>
                <w:rFonts w:ascii="Arial" w:hAnsi="Arial" w:cs="Arial"/>
              </w:rPr>
              <w:t xml:space="preserve">% points compared to 2018-19 financial year </w:t>
            </w:r>
          </w:p>
        </w:tc>
      </w:tr>
    </w:tbl>
    <w:p w14:paraId="2FAF754A" w14:textId="3CA1BF27" w:rsidR="00A21BC7" w:rsidRPr="0099632B" w:rsidRDefault="00A71CCE" w:rsidP="00313271">
      <w:pPr>
        <w:pStyle w:val="Heading2"/>
        <w:spacing w:before="240" w:after="120"/>
        <w:rPr>
          <w:rFonts w:ascii="Arial" w:eastAsiaTheme="minorHAnsi" w:hAnsi="Arial" w:cs="Arial"/>
          <w:color w:val="002060"/>
        </w:rPr>
      </w:pPr>
      <w:bookmarkStart w:id="60" w:name="_Toc194938479"/>
      <w:r w:rsidRPr="0099632B">
        <w:rPr>
          <w:rFonts w:ascii="Arial" w:eastAsiaTheme="minorHAnsi" w:hAnsi="Arial" w:cs="Arial"/>
          <w:color w:val="002060"/>
        </w:rPr>
        <w:t xml:space="preserve">9.2 </w:t>
      </w:r>
      <w:r w:rsidR="00A21BC7" w:rsidRPr="0099632B">
        <w:rPr>
          <w:rFonts w:ascii="Arial" w:eastAsiaTheme="minorHAnsi" w:hAnsi="Arial" w:cs="Arial"/>
          <w:color w:val="002060"/>
        </w:rPr>
        <w:t>Gross State Product</w:t>
      </w:r>
      <w:bookmarkEnd w:id="60"/>
      <w:r w:rsidR="00304879" w:rsidRPr="0099632B">
        <w:rPr>
          <w:rFonts w:ascii="Arial" w:eastAsiaTheme="minorHAnsi" w:hAnsi="Arial" w:cs="Arial"/>
          <w:color w:val="002060"/>
        </w:rPr>
        <w:t xml:space="preserve"> </w:t>
      </w:r>
    </w:p>
    <w:p w14:paraId="48BBB6D1" w14:textId="6FBD5B34" w:rsidR="00AB17CA" w:rsidRPr="0099632B" w:rsidRDefault="00A71CCE" w:rsidP="00AB17CA">
      <w:pPr>
        <w:pStyle w:val="Heading3"/>
        <w:spacing w:before="240" w:after="120"/>
        <w:rPr>
          <w:rFonts w:ascii="Arial" w:eastAsiaTheme="minorHAnsi" w:hAnsi="Arial" w:cs="Arial"/>
          <w:color w:val="002060"/>
        </w:rPr>
      </w:pPr>
      <w:r w:rsidRPr="0099632B">
        <w:rPr>
          <w:rFonts w:ascii="Arial" w:eastAsiaTheme="minorHAnsi" w:hAnsi="Arial" w:cs="Arial"/>
          <w:color w:val="002060"/>
        </w:rPr>
        <w:t xml:space="preserve">9.2.1 </w:t>
      </w:r>
      <w:r w:rsidR="00C633FF" w:rsidRPr="0099632B">
        <w:rPr>
          <w:rFonts w:ascii="Arial" w:eastAsiaTheme="minorHAnsi" w:hAnsi="Arial" w:cs="Arial"/>
          <w:color w:val="002060"/>
        </w:rPr>
        <w:t xml:space="preserve">Direct, indirect and total Gross State Product (GSP) in Victoria by volume </w:t>
      </w:r>
      <w:r w:rsidR="00F76D7A" w:rsidRPr="0099632B">
        <w:rPr>
          <w:rFonts w:ascii="Arial" w:eastAsiaTheme="minorHAnsi" w:hAnsi="Arial" w:cs="Arial"/>
          <w:color w:val="002060"/>
        </w:rPr>
        <w:t xml:space="preserve">in </w:t>
      </w:r>
      <w:r w:rsidR="003A71F6" w:rsidRPr="0099632B">
        <w:rPr>
          <w:rFonts w:ascii="Arial" w:eastAsiaTheme="minorHAnsi" w:hAnsi="Arial" w:cs="Arial"/>
          <w:color w:val="002060"/>
        </w:rPr>
        <w:t>2018-19</w:t>
      </w:r>
      <w:r w:rsidR="00AB17CA" w:rsidRPr="0099632B">
        <w:rPr>
          <w:rFonts w:ascii="Arial" w:eastAsiaTheme="minorHAnsi" w:hAnsi="Arial" w:cs="Arial"/>
          <w:color w:val="002060"/>
        </w:rPr>
        <w:t xml:space="preserve"> to </w:t>
      </w:r>
      <w:r w:rsidR="00087CA3" w:rsidRPr="0099632B">
        <w:rPr>
          <w:rFonts w:ascii="Arial" w:eastAsiaTheme="minorHAnsi" w:hAnsi="Arial" w:cs="Arial"/>
          <w:color w:val="002060"/>
        </w:rPr>
        <w:t>2023-24</w:t>
      </w:r>
    </w:p>
    <w:tbl>
      <w:tblPr>
        <w:tblStyle w:val="TableGrid"/>
        <w:tblW w:w="0" w:type="auto"/>
        <w:tblLook w:val="04A0" w:firstRow="1" w:lastRow="0" w:firstColumn="1" w:lastColumn="0" w:noHBand="0" w:noVBand="1"/>
      </w:tblPr>
      <w:tblGrid>
        <w:gridCol w:w="1811"/>
        <w:gridCol w:w="1303"/>
        <w:gridCol w:w="1303"/>
        <w:gridCol w:w="1303"/>
        <w:gridCol w:w="1303"/>
        <w:gridCol w:w="1303"/>
        <w:gridCol w:w="1303"/>
      </w:tblGrid>
      <w:tr w:rsidR="008F0908" w:rsidRPr="0099632B" w14:paraId="5E32C9A5" w14:textId="77777777" w:rsidTr="00C12CA5">
        <w:trPr>
          <w:tblHeader/>
        </w:trPr>
        <w:tc>
          <w:tcPr>
            <w:tcW w:w="1811" w:type="dxa"/>
            <w:shd w:val="clear" w:color="auto" w:fill="D9D9D9" w:themeFill="background1" w:themeFillShade="D9"/>
          </w:tcPr>
          <w:p w14:paraId="40D22B5F" w14:textId="77777777" w:rsidR="008F0908" w:rsidRPr="0099632B" w:rsidRDefault="008F0908" w:rsidP="008F0908">
            <w:pPr>
              <w:rPr>
                <w:rFonts w:ascii="Arial" w:eastAsiaTheme="majorEastAsia" w:hAnsi="Arial" w:cs="Arial"/>
                <w:b/>
                <w:bCs/>
                <w:color w:val="2F5496" w:themeColor="accent1" w:themeShade="BF"/>
                <w:sz w:val="24"/>
                <w:szCs w:val="24"/>
              </w:rPr>
            </w:pPr>
            <w:bookmarkStart w:id="61" w:name="Title_18" w:colFirst="0" w:colLast="0"/>
          </w:p>
        </w:tc>
        <w:tc>
          <w:tcPr>
            <w:tcW w:w="1303" w:type="dxa"/>
            <w:shd w:val="clear" w:color="auto" w:fill="D9D9D9" w:themeFill="background1" w:themeFillShade="D9"/>
          </w:tcPr>
          <w:p w14:paraId="59D6AB75" w14:textId="306E64C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2018-19</w:t>
            </w:r>
          </w:p>
        </w:tc>
        <w:tc>
          <w:tcPr>
            <w:tcW w:w="1303" w:type="dxa"/>
            <w:shd w:val="clear" w:color="auto" w:fill="D9D9D9" w:themeFill="background1" w:themeFillShade="D9"/>
          </w:tcPr>
          <w:p w14:paraId="1B7CA071" w14:textId="172A196E"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2019-20</w:t>
            </w:r>
          </w:p>
        </w:tc>
        <w:tc>
          <w:tcPr>
            <w:tcW w:w="1303" w:type="dxa"/>
            <w:shd w:val="clear" w:color="auto" w:fill="D9D9D9" w:themeFill="background1" w:themeFillShade="D9"/>
          </w:tcPr>
          <w:p w14:paraId="1723C8F9" w14:textId="3902C285"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2020-21</w:t>
            </w:r>
          </w:p>
        </w:tc>
        <w:tc>
          <w:tcPr>
            <w:tcW w:w="1303" w:type="dxa"/>
            <w:shd w:val="clear" w:color="auto" w:fill="D9D9D9" w:themeFill="background1" w:themeFillShade="D9"/>
          </w:tcPr>
          <w:p w14:paraId="52E1BB98" w14:textId="5B9A4686"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2021-22</w:t>
            </w:r>
          </w:p>
        </w:tc>
        <w:tc>
          <w:tcPr>
            <w:tcW w:w="1303" w:type="dxa"/>
            <w:shd w:val="clear" w:color="auto" w:fill="D9D9D9" w:themeFill="background1" w:themeFillShade="D9"/>
          </w:tcPr>
          <w:p w14:paraId="38E68678" w14:textId="682E29F9"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2022-23</w:t>
            </w:r>
          </w:p>
        </w:tc>
        <w:tc>
          <w:tcPr>
            <w:tcW w:w="1303" w:type="dxa"/>
            <w:shd w:val="clear" w:color="auto" w:fill="D9D9D9" w:themeFill="background1" w:themeFillShade="D9"/>
          </w:tcPr>
          <w:p w14:paraId="7EC171AC" w14:textId="6A4C5786"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2023-24</w:t>
            </w:r>
          </w:p>
        </w:tc>
      </w:tr>
      <w:bookmarkEnd w:id="61"/>
      <w:tr w:rsidR="003161EA" w:rsidRPr="0099632B" w14:paraId="07DEA180" w14:textId="77777777" w:rsidTr="003C3562">
        <w:tc>
          <w:tcPr>
            <w:tcW w:w="1811" w:type="dxa"/>
            <w:shd w:val="clear" w:color="auto" w:fill="D9D9D9" w:themeFill="background1" w:themeFillShade="D9"/>
            <w:vAlign w:val="bottom"/>
          </w:tcPr>
          <w:p w14:paraId="5D6EAA03" w14:textId="5FB9072C" w:rsidR="003161EA" w:rsidRPr="0099632B" w:rsidRDefault="003161EA" w:rsidP="003161EA">
            <w:pPr>
              <w:rPr>
                <w:rFonts w:ascii="Arial" w:hAnsi="Arial" w:cs="Arial"/>
                <w:color w:val="000000"/>
                <w:sz w:val="20"/>
                <w:szCs w:val="20"/>
              </w:rPr>
            </w:pPr>
            <w:r w:rsidRPr="0099632B">
              <w:rPr>
                <w:rFonts w:ascii="Arial" w:hAnsi="Arial" w:cs="Arial"/>
                <w:color w:val="000000"/>
                <w:sz w:val="20"/>
                <w:szCs w:val="20"/>
              </w:rPr>
              <w:t>Direct GSP ($m)</w:t>
            </w:r>
          </w:p>
        </w:tc>
        <w:tc>
          <w:tcPr>
            <w:tcW w:w="1303" w:type="dxa"/>
          </w:tcPr>
          <w:p w14:paraId="797D2494" w14:textId="4AA19602" w:rsidR="003161EA" w:rsidRPr="0099632B" w:rsidRDefault="003161EA" w:rsidP="003161EA">
            <w:pPr>
              <w:rPr>
                <w:rFonts w:ascii="Arial" w:hAnsi="Arial" w:cs="Arial"/>
                <w:color w:val="000000"/>
                <w:sz w:val="20"/>
                <w:szCs w:val="20"/>
              </w:rPr>
            </w:pPr>
            <w:r w:rsidRPr="0099632B">
              <w:rPr>
                <w:rFonts w:ascii="Arial" w:hAnsi="Arial" w:cs="Arial"/>
              </w:rPr>
              <w:t>14,475</w:t>
            </w:r>
          </w:p>
        </w:tc>
        <w:tc>
          <w:tcPr>
            <w:tcW w:w="1303" w:type="dxa"/>
          </w:tcPr>
          <w:p w14:paraId="50F14CC2" w14:textId="34717A96" w:rsidR="003161EA" w:rsidRPr="0099632B" w:rsidRDefault="003161EA" w:rsidP="003161EA">
            <w:pPr>
              <w:rPr>
                <w:rFonts w:ascii="Arial" w:hAnsi="Arial" w:cs="Arial"/>
                <w:color w:val="000000"/>
                <w:sz w:val="20"/>
                <w:szCs w:val="20"/>
              </w:rPr>
            </w:pPr>
            <w:r w:rsidRPr="0099632B">
              <w:rPr>
                <w:rFonts w:ascii="Arial" w:hAnsi="Arial" w:cs="Arial"/>
              </w:rPr>
              <w:t>11,418</w:t>
            </w:r>
          </w:p>
        </w:tc>
        <w:tc>
          <w:tcPr>
            <w:tcW w:w="1303" w:type="dxa"/>
          </w:tcPr>
          <w:p w14:paraId="541A8637" w14:textId="2D6435A4" w:rsidR="003161EA" w:rsidRPr="0099632B" w:rsidRDefault="003161EA" w:rsidP="003161EA">
            <w:pPr>
              <w:rPr>
                <w:rFonts w:ascii="Arial" w:hAnsi="Arial" w:cs="Arial"/>
                <w:color w:val="000000"/>
                <w:sz w:val="20"/>
                <w:szCs w:val="20"/>
              </w:rPr>
            </w:pPr>
            <w:r w:rsidRPr="0099632B">
              <w:rPr>
                <w:rFonts w:ascii="Arial" w:hAnsi="Arial" w:cs="Arial"/>
              </w:rPr>
              <w:t>5,184</w:t>
            </w:r>
          </w:p>
        </w:tc>
        <w:tc>
          <w:tcPr>
            <w:tcW w:w="1303" w:type="dxa"/>
          </w:tcPr>
          <w:p w14:paraId="189BE0B9" w14:textId="2EB5276D" w:rsidR="003161EA" w:rsidRPr="0099632B" w:rsidRDefault="003161EA" w:rsidP="003161EA">
            <w:pPr>
              <w:rPr>
                <w:rFonts w:ascii="Arial" w:hAnsi="Arial" w:cs="Arial"/>
                <w:color w:val="000000"/>
                <w:sz w:val="20"/>
                <w:szCs w:val="20"/>
              </w:rPr>
            </w:pPr>
            <w:r w:rsidRPr="0099632B">
              <w:rPr>
                <w:rFonts w:ascii="Arial" w:hAnsi="Arial" w:cs="Arial"/>
              </w:rPr>
              <w:t>7,936</w:t>
            </w:r>
          </w:p>
        </w:tc>
        <w:tc>
          <w:tcPr>
            <w:tcW w:w="1303" w:type="dxa"/>
          </w:tcPr>
          <w:p w14:paraId="2F08CC89" w14:textId="4BB59800" w:rsidR="003161EA" w:rsidRPr="0099632B" w:rsidRDefault="003161EA" w:rsidP="003161EA">
            <w:pPr>
              <w:rPr>
                <w:rFonts w:ascii="Arial" w:hAnsi="Arial" w:cs="Arial"/>
                <w:color w:val="000000"/>
                <w:sz w:val="20"/>
                <w:szCs w:val="20"/>
              </w:rPr>
            </w:pPr>
            <w:r w:rsidRPr="0099632B">
              <w:rPr>
                <w:rFonts w:ascii="Arial" w:hAnsi="Arial" w:cs="Arial"/>
              </w:rPr>
              <w:t>15,942</w:t>
            </w:r>
          </w:p>
        </w:tc>
        <w:tc>
          <w:tcPr>
            <w:tcW w:w="1303" w:type="dxa"/>
          </w:tcPr>
          <w:p w14:paraId="7F9B6780" w14:textId="3FE04D8A" w:rsidR="003161EA" w:rsidRPr="0099632B" w:rsidRDefault="003161EA" w:rsidP="003161EA">
            <w:pPr>
              <w:rPr>
                <w:rFonts w:ascii="Arial" w:hAnsi="Arial" w:cs="Arial"/>
                <w:color w:val="000000"/>
                <w:sz w:val="20"/>
                <w:szCs w:val="20"/>
              </w:rPr>
            </w:pPr>
            <w:r w:rsidRPr="0099632B">
              <w:rPr>
                <w:rFonts w:ascii="Arial" w:hAnsi="Arial" w:cs="Arial"/>
              </w:rPr>
              <w:t>17,979</w:t>
            </w:r>
          </w:p>
        </w:tc>
      </w:tr>
      <w:tr w:rsidR="003161EA" w:rsidRPr="00614C65" w14:paraId="11FC9CCF" w14:textId="77777777" w:rsidTr="003C3562">
        <w:tc>
          <w:tcPr>
            <w:tcW w:w="1811" w:type="dxa"/>
            <w:shd w:val="clear" w:color="auto" w:fill="D9D9D9" w:themeFill="background1" w:themeFillShade="D9"/>
            <w:vAlign w:val="bottom"/>
          </w:tcPr>
          <w:p w14:paraId="02E652B1" w14:textId="50B02E19" w:rsidR="003161EA" w:rsidRPr="0099632B" w:rsidRDefault="003161EA" w:rsidP="003161EA">
            <w:pPr>
              <w:rPr>
                <w:rFonts w:ascii="Arial" w:hAnsi="Arial" w:cs="Arial"/>
                <w:color w:val="000000"/>
                <w:sz w:val="20"/>
                <w:szCs w:val="20"/>
              </w:rPr>
            </w:pPr>
            <w:r w:rsidRPr="0099632B">
              <w:rPr>
                <w:rFonts w:ascii="Arial" w:hAnsi="Arial" w:cs="Arial"/>
                <w:color w:val="000000"/>
                <w:sz w:val="20"/>
                <w:szCs w:val="20"/>
              </w:rPr>
              <w:t>Indirect GSP ($m)</w:t>
            </w:r>
          </w:p>
        </w:tc>
        <w:tc>
          <w:tcPr>
            <w:tcW w:w="1303" w:type="dxa"/>
          </w:tcPr>
          <w:p w14:paraId="58FF03B3" w14:textId="22C4691D" w:rsidR="003161EA" w:rsidRPr="0099632B" w:rsidRDefault="003161EA" w:rsidP="003161EA">
            <w:pPr>
              <w:rPr>
                <w:rFonts w:ascii="Arial" w:hAnsi="Arial" w:cs="Arial"/>
                <w:color w:val="000000"/>
                <w:sz w:val="20"/>
                <w:szCs w:val="20"/>
              </w:rPr>
            </w:pPr>
            <w:r w:rsidRPr="0099632B">
              <w:rPr>
                <w:rFonts w:ascii="Arial" w:hAnsi="Arial" w:cs="Arial"/>
              </w:rPr>
              <w:t>14,863</w:t>
            </w:r>
          </w:p>
        </w:tc>
        <w:tc>
          <w:tcPr>
            <w:tcW w:w="1303" w:type="dxa"/>
          </w:tcPr>
          <w:p w14:paraId="4A3DDB19" w14:textId="214B5D84" w:rsidR="003161EA" w:rsidRPr="0099632B" w:rsidRDefault="003161EA" w:rsidP="003161EA">
            <w:pPr>
              <w:rPr>
                <w:rFonts w:ascii="Arial" w:hAnsi="Arial" w:cs="Arial"/>
                <w:color w:val="000000"/>
                <w:sz w:val="20"/>
                <w:szCs w:val="20"/>
              </w:rPr>
            </w:pPr>
            <w:r w:rsidRPr="0099632B">
              <w:rPr>
                <w:rFonts w:ascii="Arial" w:hAnsi="Arial" w:cs="Arial"/>
              </w:rPr>
              <w:t>12,064</w:t>
            </w:r>
          </w:p>
        </w:tc>
        <w:tc>
          <w:tcPr>
            <w:tcW w:w="1303" w:type="dxa"/>
          </w:tcPr>
          <w:p w14:paraId="420B1C3C" w14:textId="76651A93" w:rsidR="003161EA" w:rsidRPr="0099632B" w:rsidRDefault="003161EA" w:rsidP="003161EA">
            <w:pPr>
              <w:rPr>
                <w:rFonts w:ascii="Arial" w:hAnsi="Arial" w:cs="Arial"/>
                <w:color w:val="000000"/>
                <w:sz w:val="20"/>
                <w:szCs w:val="20"/>
              </w:rPr>
            </w:pPr>
            <w:r w:rsidRPr="0099632B">
              <w:rPr>
                <w:rFonts w:ascii="Arial" w:hAnsi="Arial" w:cs="Arial"/>
              </w:rPr>
              <w:t>6,164</w:t>
            </w:r>
          </w:p>
        </w:tc>
        <w:tc>
          <w:tcPr>
            <w:tcW w:w="1303" w:type="dxa"/>
          </w:tcPr>
          <w:p w14:paraId="3F46EE95" w14:textId="26E01F10" w:rsidR="003161EA" w:rsidRPr="0099632B" w:rsidRDefault="003161EA" w:rsidP="003161EA">
            <w:pPr>
              <w:rPr>
                <w:rFonts w:ascii="Arial" w:hAnsi="Arial" w:cs="Arial"/>
                <w:color w:val="000000"/>
                <w:sz w:val="20"/>
                <w:szCs w:val="20"/>
              </w:rPr>
            </w:pPr>
            <w:r w:rsidRPr="0099632B">
              <w:rPr>
                <w:rFonts w:ascii="Arial" w:hAnsi="Arial" w:cs="Arial"/>
              </w:rPr>
              <w:t>8,893</w:t>
            </w:r>
          </w:p>
        </w:tc>
        <w:tc>
          <w:tcPr>
            <w:tcW w:w="1303" w:type="dxa"/>
          </w:tcPr>
          <w:p w14:paraId="1F3B9A3B" w14:textId="4BAC6E7A" w:rsidR="003161EA" w:rsidRPr="0099632B" w:rsidRDefault="003161EA" w:rsidP="003161EA">
            <w:pPr>
              <w:rPr>
                <w:rFonts w:ascii="Arial" w:hAnsi="Arial" w:cs="Arial"/>
                <w:color w:val="000000"/>
                <w:sz w:val="20"/>
                <w:szCs w:val="20"/>
              </w:rPr>
            </w:pPr>
            <w:r w:rsidRPr="0099632B">
              <w:rPr>
                <w:rFonts w:ascii="Arial" w:hAnsi="Arial" w:cs="Arial"/>
              </w:rPr>
              <w:t>15,989</w:t>
            </w:r>
          </w:p>
        </w:tc>
        <w:tc>
          <w:tcPr>
            <w:tcW w:w="1303" w:type="dxa"/>
          </w:tcPr>
          <w:p w14:paraId="4C988394" w14:textId="5DB07272" w:rsidR="003161EA" w:rsidRPr="0099632B" w:rsidRDefault="003161EA" w:rsidP="003161EA">
            <w:pPr>
              <w:rPr>
                <w:rFonts w:ascii="Arial" w:hAnsi="Arial" w:cs="Arial"/>
                <w:color w:val="000000"/>
                <w:sz w:val="20"/>
                <w:szCs w:val="20"/>
              </w:rPr>
            </w:pPr>
            <w:r w:rsidRPr="0099632B">
              <w:rPr>
                <w:rFonts w:ascii="Arial" w:hAnsi="Arial" w:cs="Arial"/>
              </w:rPr>
              <w:t>17,976</w:t>
            </w:r>
          </w:p>
        </w:tc>
      </w:tr>
      <w:tr w:rsidR="003161EA" w:rsidRPr="0099632B" w14:paraId="60779489" w14:textId="77777777" w:rsidTr="003C3562">
        <w:tc>
          <w:tcPr>
            <w:tcW w:w="1811" w:type="dxa"/>
            <w:shd w:val="clear" w:color="auto" w:fill="D9D9D9" w:themeFill="background1" w:themeFillShade="D9"/>
            <w:vAlign w:val="bottom"/>
          </w:tcPr>
          <w:p w14:paraId="23187516" w14:textId="260E7A07" w:rsidR="003161EA" w:rsidRPr="0099632B" w:rsidRDefault="003161EA" w:rsidP="003161EA">
            <w:pPr>
              <w:rPr>
                <w:rFonts w:ascii="Arial" w:hAnsi="Arial" w:cs="Arial"/>
                <w:b/>
                <w:bCs/>
                <w:color w:val="000000"/>
                <w:sz w:val="20"/>
                <w:szCs w:val="20"/>
              </w:rPr>
            </w:pPr>
            <w:r w:rsidRPr="0099632B">
              <w:rPr>
                <w:rFonts w:ascii="Arial" w:hAnsi="Arial" w:cs="Arial"/>
                <w:b/>
                <w:bCs/>
                <w:color w:val="000000"/>
                <w:sz w:val="20"/>
                <w:szCs w:val="20"/>
              </w:rPr>
              <w:lastRenderedPageBreak/>
              <w:t>Total GSP ($m)</w:t>
            </w:r>
          </w:p>
        </w:tc>
        <w:tc>
          <w:tcPr>
            <w:tcW w:w="1303" w:type="dxa"/>
          </w:tcPr>
          <w:p w14:paraId="7C509632" w14:textId="495A5651" w:rsidR="003161EA" w:rsidRPr="0099632B" w:rsidRDefault="003161EA" w:rsidP="003161EA">
            <w:pPr>
              <w:rPr>
                <w:rFonts w:ascii="Arial" w:hAnsi="Arial" w:cs="Arial"/>
                <w:color w:val="000000"/>
                <w:sz w:val="20"/>
                <w:szCs w:val="20"/>
              </w:rPr>
            </w:pPr>
            <w:r w:rsidRPr="0099632B">
              <w:rPr>
                <w:rFonts w:ascii="Arial" w:hAnsi="Arial" w:cs="Arial"/>
              </w:rPr>
              <w:t>29,337</w:t>
            </w:r>
          </w:p>
        </w:tc>
        <w:tc>
          <w:tcPr>
            <w:tcW w:w="1303" w:type="dxa"/>
          </w:tcPr>
          <w:p w14:paraId="3A9EE7C3" w14:textId="1E5D97C5" w:rsidR="003161EA" w:rsidRPr="0099632B" w:rsidRDefault="003161EA" w:rsidP="003161EA">
            <w:pPr>
              <w:rPr>
                <w:rFonts w:ascii="Arial" w:hAnsi="Arial" w:cs="Arial"/>
                <w:color w:val="000000"/>
                <w:sz w:val="20"/>
                <w:szCs w:val="20"/>
              </w:rPr>
            </w:pPr>
            <w:r w:rsidRPr="0099632B">
              <w:rPr>
                <w:rFonts w:ascii="Arial" w:hAnsi="Arial" w:cs="Arial"/>
              </w:rPr>
              <w:t>23,482</w:t>
            </w:r>
          </w:p>
        </w:tc>
        <w:tc>
          <w:tcPr>
            <w:tcW w:w="1303" w:type="dxa"/>
          </w:tcPr>
          <w:p w14:paraId="7D2DF762" w14:textId="5AF38C13" w:rsidR="003161EA" w:rsidRPr="0099632B" w:rsidRDefault="003161EA" w:rsidP="003161EA">
            <w:pPr>
              <w:rPr>
                <w:rFonts w:ascii="Arial" w:hAnsi="Arial" w:cs="Arial"/>
                <w:color w:val="000000"/>
                <w:sz w:val="20"/>
                <w:szCs w:val="20"/>
              </w:rPr>
            </w:pPr>
            <w:r w:rsidRPr="0099632B">
              <w:rPr>
                <w:rFonts w:ascii="Arial" w:hAnsi="Arial" w:cs="Arial"/>
              </w:rPr>
              <w:t>11,348</w:t>
            </w:r>
          </w:p>
        </w:tc>
        <w:tc>
          <w:tcPr>
            <w:tcW w:w="1303" w:type="dxa"/>
          </w:tcPr>
          <w:p w14:paraId="677858BE" w14:textId="727E826E" w:rsidR="003161EA" w:rsidRPr="0099632B" w:rsidRDefault="003161EA" w:rsidP="003161EA">
            <w:pPr>
              <w:rPr>
                <w:rFonts w:ascii="Arial" w:hAnsi="Arial" w:cs="Arial"/>
                <w:color w:val="000000"/>
                <w:sz w:val="20"/>
                <w:szCs w:val="20"/>
              </w:rPr>
            </w:pPr>
            <w:r w:rsidRPr="0099632B">
              <w:rPr>
                <w:rFonts w:ascii="Arial" w:hAnsi="Arial" w:cs="Arial"/>
              </w:rPr>
              <w:t>16,829</w:t>
            </w:r>
          </w:p>
        </w:tc>
        <w:tc>
          <w:tcPr>
            <w:tcW w:w="1303" w:type="dxa"/>
          </w:tcPr>
          <w:p w14:paraId="0EF171D4" w14:textId="1DA4C4D6" w:rsidR="003161EA" w:rsidRPr="0099632B" w:rsidRDefault="003161EA" w:rsidP="003161EA">
            <w:pPr>
              <w:rPr>
                <w:rFonts w:ascii="Arial" w:hAnsi="Arial" w:cs="Arial"/>
                <w:color w:val="000000"/>
                <w:sz w:val="20"/>
                <w:szCs w:val="20"/>
              </w:rPr>
            </w:pPr>
            <w:r w:rsidRPr="0099632B">
              <w:rPr>
                <w:rFonts w:ascii="Arial" w:hAnsi="Arial" w:cs="Arial"/>
              </w:rPr>
              <w:t>31,931</w:t>
            </w:r>
          </w:p>
        </w:tc>
        <w:tc>
          <w:tcPr>
            <w:tcW w:w="1303" w:type="dxa"/>
          </w:tcPr>
          <w:p w14:paraId="5FA88EB5" w14:textId="489714C5" w:rsidR="003161EA" w:rsidRPr="0099632B" w:rsidRDefault="003161EA" w:rsidP="003161EA">
            <w:pPr>
              <w:rPr>
                <w:rFonts w:ascii="Arial" w:hAnsi="Arial" w:cs="Arial"/>
                <w:color w:val="000000"/>
                <w:sz w:val="20"/>
                <w:szCs w:val="20"/>
              </w:rPr>
            </w:pPr>
            <w:r w:rsidRPr="0099632B">
              <w:rPr>
                <w:rFonts w:ascii="Arial" w:hAnsi="Arial" w:cs="Arial"/>
              </w:rPr>
              <w:t>35,955</w:t>
            </w:r>
          </w:p>
        </w:tc>
      </w:tr>
    </w:tbl>
    <w:p w14:paraId="33C6AA64" w14:textId="77777777" w:rsidR="005D3639" w:rsidRPr="0099632B" w:rsidRDefault="005D3639" w:rsidP="001849BC">
      <w:pPr>
        <w:pStyle w:val="NoSpacing"/>
        <w:rPr>
          <w:rFonts w:ascii="Arial" w:eastAsiaTheme="minorHAnsi" w:hAnsi="Arial" w:cs="Arial"/>
        </w:rPr>
      </w:pPr>
    </w:p>
    <w:p w14:paraId="52057530" w14:textId="674523CB" w:rsidR="00AB17CA" w:rsidRPr="0099632B" w:rsidRDefault="00A71CCE" w:rsidP="00AB17CA">
      <w:pPr>
        <w:pStyle w:val="Heading3"/>
        <w:spacing w:before="240" w:after="120"/>
        <w:rPr>
          <w:rFonts w:ascii="Arial" w:eastAsiaTheme="minorHAnsi" w:hAnsi="Arial" w:cs="Arial"/>
          <w:color w:val="002060"/>
        </w:rPr>
      </w:pPr>
      <w:r w:rsidRPr="0099632B">
        <w:rPr>
          <w:rFonts w:ascii="Arial" w:eastAsiaTheme="minorHAnsi" w:hAnsi="Arial" w:cs="Arial"/>
          <w:color w:val="002060"/>
        </w:rPr>
        <w:t xml:space="preserve">9.2.2 </w:t>
      </w:r>
      <w:r w:rsidR="00BF3057" w:rsidRPr="0099632B">
        <w:rPr>
          <w:rFonts w:ascii="Arial" w:eastAsiaTheme="minorHAnsi" w:hAnsi="Arial" w:cs="Arial"/>
          <w:color w:val="002060"/>
        </w:rPr>
        <w:t xml:space="preserve">Direct, indirect and total Gross State Product (GSP) in Victoria by </w:t>
      </w:r>
      <w:r w:rsidR="004A0B97" w:rsidRPr="0099632B">
        <w:rPr>
          <w:rFonts w:ascii="Arial" w:eastAsiaTheme="minorHAnsi" w:hAnsi="Arial" w:cs="Arial"/>
          <w:color w:val="002060"/>
        </w:rPr>
        <w:t xml:space="preserve">percentage </w:t>
      </w:r>
      <w:r w:rsidR="00BF3057" w:rsidRPr="0099632B">
        <w:rPr>
          <w:rFonts w:ascii="Arial" w:eastAsiaTheme="minorHAnsi" w:hAnsi="Arial" w:cs="Arial"/>
          <w:color w:val="002060"/>
        </w:rPr>
        <w:t xml:space="preserve">contribution to the economy </w:t>
      </w:r>
      <w:r w:rsidR="009139C2" w:rsidRPr="0099632B">
        <w:rPr>
          <w:rFonts w:ascii="Arial" w:eastAsiaTheme="minorHAnsi" w:hAnsi="Arial" w:cs="Arial"/>
          <w:color w:val="002060"/>
        </w:rPr>
        <w:t xml:space="preserve">in </w:t>
      </w:r>
      <w:r w:rsidR="003A71F6" w:rsidRPr="0099632B">
        <w:rPr>
          <w:rFonts w:ascii="Arial" w:eastAsiaTheme="minorHAnsi" w:hAnsi="Arial" w:cs="Arial"/>
          <w:color w:val="002060"/>
        </w:rPr>
        <w:t>2018-19</w:t>
      </w:r>
      <w:r w:rsidR="00AB17CA" w:rsidRPr="0099632B">
        <w:rPr>
          <w:rFonts w:ascii="Arial" w:eastAsiaTheme="minorHAnsi" w:hAnsi="Arial" w:cs="Arial"/>
          <w:color w:val="002060"/>
        </w:rPr>
        <w:t xml:space="preserve"> to </w:t>
      </w:r>
      <w:r w:rsidR="00087CA3" w:rsidRPr="0099632B">
        <w:rPr>
          <w:rFonts w:ascii="Arial" w:eastAsiaTheme="minorHAnsi" w:hAnsi="Arial" w:cs="Arial"/>
          <w:color w:val="002060"/>
        </w:rPr>
        <w:t>2023-24</w:t>
      </w:r>
    </w:p>
    <w:tbl>
      <w:tblPr>
        <w:tblStyle w:val="TableGrid"/>
        <w:tblW w:w="0" w:type="auto"/>
        <w:tblLook w:val="04A0" w:firstRow="1" w:lastRow="0" w:firstColumn="1" w:lastColumn="0" w:noHBand="0" w:noVBand="1"/>
      </w:tblPr>
      <w:tblGrid>
        <w:gridCol w:w="1811"/>
        <w:gridCol w:w="1303"/>
        <w:gridCol w:w="1303"/>
        <w:gridCol w:w="1303"/>
        <w:gridCol w:w="1303"/>
        <w:gridCol w:w="1303"/>
        <w:gridCol w:w="1303"/>
      </w:tblGrid>
      <w:tr w:rsidR="008F0908" w:rsidRPr="0099632B" w14:paraId="09D9183A" w14:textId="77777777" w:rsidTr="000710FB">
        <w:trPr>
          <w:tblHeader/>
        </w:trPr>
        <w:tc>
          <w:tcPr>
            <w:tcW w:w="1811" w:type="dxa"/>
            <w:shd w:val="clear" w:color="auto" w:fill="D9D9D9" w:themeFill="background1" w:themeFillShade="D9"/>
            <w:vAlign w:val="bottom"/>
          </w:tcPr>
          <w:p w14:paraId="642D78B9" w14:textId="77777777" w:rsidR="008F0908" w:rsidRPr="0099632B" w:rsidRDefault="008F0908" w:rsidP="008F0908">
            <w:pPr>
              <w:rPr>
                <w:rFonts w:ascii="Arial" w:hAnsi="Arial" w:cs="Arial"/>
                <w:color w:val="000000"/>
                <w:sz w:val="20"/>
                <w:szCs w:val="20"/>
              </w:rPr>
            </w:pPr>
            <w:bookmarkStart w:id="62" w:name="Title_19" w:colFirst="0" w:colLast="0"/>
          </w:p>
        </w:tc>
        <w:tc>
          <w:tcPr>
            <w:tcW w:w="1303" w:type="dxa"/>
            <w:shd w:val="clear" w:color="auto" w:fill="D9D9D9" w:themeFill="background1" w:themeFillShade="D9"/>
          </w:tcPr>
          <w:p w14:paraId="3F7D3889" w14:textId="330698EB" w:rsidR="008F0908" w:rsidRPr="0099632B" w:rsidRDefault="008F0908" w:rsidP="008F0908">
            <w:pPr>
              <w:rPr>
                <w:rFonts w:ascii="Arial" w:hAnsi="Arial" w:cs="Arial"/>
                <w:color w:val="000000"/>
                <w:sz w:val="20"/>
                <w:szCs w:val="20"/>
              </w:rPr>
            </w:pPr>
            <w:r w:rsidRPr="0099632B">
              <w:rPr>
                <w:rFonts w:ascii="Arial" w:hAnsi="Arial" w:cs="Arial"/>
                <w:b/>
              </w:rPr>
              <w:t>2018-19</w:t>
            </w:r>
          </w:p>
        </w:tc>
        <w:tc>
          <w:tcPr>
            <w:tcW w:w="1303" w:type="dxa"/>
            <w:shd w:val="clear" w:color="auto" w:fill="D9D9D9" w:themeFill="background1" w:themeFillShade="D9"/>
          </w:tcPr>
          <w:p w14:paraId="41EEA5C1" w14:textId="7300BF19" w:rsidR="008F0908" w:rsidRPr="0099632B" w:rsidRDefault="008F0908" w:rsidP="008F0908">
            <w:pPr>
              <w:rPr>
                <w:rFonts w:ascii="Arial" w:hAnsi="Arial" w:cs="Arial"/>
                <w:color w:val="000000"/>
                <w:sz w:val="20"/>
                <w:szCs w:val="20"/>
              </w:rPr>
            </w:pPr>
            <w:r w:rsidRPr="0099632B">
              <w:rPr>
                <w:rFonts w:ascii="Arial" w:hAnsi="Arial" w:cs="Arial"/>
                <w:b/>
              </w:rPr>
              <w:t>2019-20</w:t>
            </w:r>
          </w:p>
        </w:tc>
        <w:tc>
          <w:tcPr>
            <w:tcW w:w="1303" w:type="dxa"/>
            <w:shd w:val="clear" w:color="auto" w:fill="D9D9D9" w:themeFill="background1" w:themeFillShade="D9"/>
          </w:tcPr>
          <w:p w14:paraId="7B59A99D" w14:textId="45DB1F5F" w:rsidR="008F0908" w:rsidRPr="0099632B" w:rsidRDefault="008F0908" w:rsidP="008F0908">
            <w:pPr>
              <w:rPr>
                <w:rFonts w:ascii="Arial" w:hAnsi="Arial" w:cs="Arial"/>
                <w:color w:val="000000"/>
                <w:sz w:val="20"/>
                <w:szCs w:val="20"/>
              </w:rPr>
            </w:pPr>
            <w:r w:rsidRPr="0099632B">
              <w:rPr>
                <w:rFonts w:ascii="Arial" w:hAnsi="Arial" w:cs="Arial"/>
                <w:b/>
              </w:rPr>
              <w:t>2020-21</w:t>
            </w:r>
          </w:p>
        </w:tc>
        <w:tc>
          <w:tcPr>
            <w:tcW w:w="1303" w:type="dxa"/>
            <w:shd w:val="clear" w:color="auto" w:fill="D9D9D9" w:themeFill="background1" w:themeFillShade="D9"/>
          </w:tcPr>
          <w:p w14:paraId="39CCD755" w14:textId="37B3B3EC" w:rsidR="008F0908" w:rsidRPr="0099632B" w:rsidRDefault="008F0908" w:rsidP="008F0908">
            <w:pPr>
              <w:rPr>
                <w:rFonts w:ascii="Arial" w:hAnsi="Arial" w:cs="Arial"/>
                <w:color w:val="000000"/>
                <w:sz w:val="20"/>
                <w:szCs w:val="20"/>
              </w:rPr>
            </w:pPr>
            <w:r w:rsidRPr="0099632B">
              <w:rPr>
                <w:rFonts w:ascii="Arial" w:hAnsi="Arial" w:cs="Arial"/>
                <w:b/>
              </w:rPr>
              <w:t>2021-22</w:t>
            </w:r>
          </w:p>
        </w:tc>
        <w:tc>
          <w:tcPr>
            <w:tcW w:w="1303" w:type="dxa"/>
            <w:shd w:val="clear" w:color="auto" w:fill="D9D9D9" w:themeFill="background1" w:themeFillShade="D9"/>
          </w:tcPr>
          <w:p w14:paraId="026DB5EB" w14:textId="168E4769" w:rsidR="008F0908" w:rsidRPr="0099632B" w:rsidRDefault="008F0908" w:rsidP="008F0908">
            <w:pPr>
              <w:rPr>
                <w:rFonts w:ascii="Arial" w:hAnsi="Arial" w:cs="Arial"/>
                <w:color w:val="000000"/>
                <w:sz w:val="20"/>
                <w:szCs w:val="20"/>
              </w:rPr>
            </w:pPr>
            <w:r w:rsidRPr="0099632B">
              <w:rPr>
                <w:rFonts w:ascii="Arial" w:hAnsi="Arial" w:cs="Arial"/>
                <w:b/>
              </w:rPr>
              <w:t>2022-23</w:t>
            </w:r>
          </w:p>
        </w:tc>
        <w:tc>
          <w:tcPr>
            <w:tcW w:w="1303" w:type="dxa"/>
            <w:shd w:val="clear" w:color="auto" w:fill="D9D9D9" w:themeFill="background1" w:themeFillShade="D9"/>
          </w:tcPr>
          <w:p w14:paraId="45E8AA46" w14:textId="66EB4DBB" w:rsidR="008F0908" w:rsidRPr="0099632B" w:rsidRDefault="008F0908" w:rsidP="008F0908">
            <w:pPr>
              <w:rPr>
                <w:rFonts w:ascii="Arial" w:hAnsi="Arial" w:cs="Arial"/>
                <w:color w:val="000000"/>
                <w:sz w:val="20"/>
                <w:szCs w:val="20"/>
              </w:rPr>
            </w:pPr>
            <w:r w:rsidRPr="0099632B">
              <w:rPr>
                <w:rFonts w:ascii="Arial" w:hAnsi="Arial" w:cs="Arial"/>
                <w:b/>
              </w:rPr>
              <w:t>2023-24</w:t>
            </w:r>
          </w:p>
        </w:tc>
      </w:tr>
      <w:bookmarkEnd w:id="62"/>
      <w:tr w:rsidR="003161EA" w:rsidRPr="0099632B" w14:paraId="197BE1E1" w14:textId="77777777" w:rsidTr="00B364E7">
        <w:tc>
          <w:tcPr>
            <w:tcW w:w="1811" w:type="dxa"/>
            <w:shd w:val="clear" w:color="auto" w:fill="D9D9D9" w:themeFill="background1" w:themeFillShade="D9"/>
            <w:vAlign w:val="bottom"/>
          </w:tcPr>
          <w:p w14:paraId="668A435A" w14:textId="140FB80E" w:rsidR="003161EA" w:rsidRPr="0099632B" w:rsidRDefault="003161EA" w:rsidP="003161EA">
            <w:pPr>
              <w:rPr>
                <w:rFonts w:ascii="Arial" w:hAnsi="Arial" w:cs="Arial"/>
                <w:color w:val="000000"/>
                <w:sz w:val="20"/>
                <w:szCs w:val="20"/>
              </w:rPr>
            </w:pPr>
            <w:r w:rsidRPr="0099632B">
              <w:rPr>
                <w:rFonts w:ascii="Arial" w:hAnsi="Arial" w:cs="Arial"/>
                <w:color w:val="000000"/>
                <w:sz w:val="20"/>
                <w:szCs w:val="20"/>
              </w:rPr>
              <w:t>Direct GSP (%)</w:t>
            </w:r>
          </w:p>
        </w:tc>
        <w:tc>
          <w:tcPr>
            <w:tcW w:w="1303" w:type="dxa"/>
          </w:tcPr>
          <w:p w14:paraId="6146D000" w14:textId="15F9827C" w:rsidR="003161EA" w:rsidRPr="0099632B" w:rsidRDefault="003161EA" w:rsidP="003161EA">
            <w:pPr>
              <w:rPr>
                <w:rFonts w:ascii="Arial" w:hAnsi="Arial" w:cs="Arial"/>
                <w:color w:val="000000"/>
                <w:sz w:val="20"/>
                <w:szCs w:val="20"/>
              </w:rPr>
            </w:pPr>
            <w:r w:rsidRPr="0099632B">
              <w:rPr>
                <w:rFonts w:ascii="Arial" w:hAnsi="Arial" w:cs="Arial"/>
              </w:rPr>
              <w:t>3.1%</w:t>
            </w:r>
          </w:p>
        </w:tc>
        <w:tc>
          <w:tcPr>
            <w:tcW w:w="1303" w:type="dxa"/>
          </w:tcPr>
          <w:p w14:paraId="74A676F3" w14:textId="0D6E2799" w:rsidR="003161EA" w:rsidRPr="0099632B" w:rsidRDefault="003161EA" w:rsidP="003161EA">
            <w:pPr>
              <w:rPr>
                <w:rFonts w:ascii="Arial" w:hAnsi="Arial" w:cs="Arial"/>
                <w:color w:val="000000"/>
                <w:sz w:val="20"/>
                <w:szCs w:val="20"/>
              </w:rPr>
            </w:pPr>
            <w:r w:rsidRPr="0099632B">
              <w:rPr>
                <w:rFonts w:ascii="Arial" w:hAnsi="Arial" w:cs="Arial"/>
              </w:rPr>
              <w:t>2.4%</w:t>
            </w:r>
          </w:p>
        </w:tc>
        <w:tc>
          <w:tcPr>
            <w:tcW w:w="1303" w:type="dxa"/>
          </w:tcPr>
          <w:p w14:paraId="312E3826" w14:textId="3833ECDD" w:rsidR="003161EA" w:rsidRPr="0099632B" w:rsidRDefault="003161EA" w:rsidP="003161EA">
            <w:pPr>
              <w:rPr>
                <w:rFonts w:ascii="Arial" w:hAnsi="Arial" w:cs="Arial"/>
                <w:color w:val="000000"/>
                <w:sz w:val="20"/>
                <w:szCs w:val="20"/>
              </w:rPr>
            </w:pPr>
            <w:r w:rsidRPr="0099632B">
              <w:rPr>
                <w:rFonts w:ascii="Arial" w:hAnsi="Arial" w:cs="Arial"/>
              </w:rPr>
              <w:t>1.1%</w:t>
            </w:r>
          </w:p>
        </w:tc>
        <w:tc>
          <w:tcPr>
            <w:tcW w:w="1303" w:type="dxa"/>
          </w:tcPr>
          <w:p w14:paraId="552CC49F" w14:textId="5647904C" w:rsidR="003161EA" w:rsidRPr="0099632B" w:rsidRDefault="003161EA" w:rsidP="003161EA">
            <w:pPr>
              <w:rPr>
                <w:rFonts w:ascii="Arial" w:hAnsi="Arial" w:cs="Arial"/>
                <w:color w:val="000000"/>
                <w:sz w:val="20"/>
                <w:szCs w:val="20"/>
              </w:rPr>
            </w:pPr>
            <w:r w:rsidRPr="0099632B">
              <w:rPr>
                <w:rFonts w:ascii="Arial" w:hAnsi="Arial" w:cs="Arial"/>
              </w:rPr>
              <w:t>1.5%</w:t>
            </w:r>
          </w:p>
        </w:tc>
        <w:tc>
          <w:tcPr>
            <w:tcW w:w="1303" w:type="dxa"/>
          </w:tcPr>
          <w:p w14:paraId="317FF828" w14:textId="120F68B5" w:rsidR="003161EA" w:rsidRPr="0099632B" w:rsidRDefault="003161EA" w:rsidP="003161EA">
            <w:pPr>
              <w:rPr>
                <w:rFonts w:ascii="Arial" w:hAnsi="Arial" w:cs="Arial"/>
                <w:color w:val="000000"/>
                <w:sz w:val="20"/>
                <w:szCs w:val="20"/>
              </w:rPr>
            </w:pPr>
            <w:r w:rsidRPr="0099632B">
              <w:rPr>
                <w:rFonts w:ascii="Arial" w:hAnsi="Arial" w:cs="Arial"/>
              </w:rPr>
              <w:t>2.8%</w:t>
            </w:r>
          </w:p>
        </w:tc>
        <w:tc>
          <w:tcPr>
            <w:tcW w:w="1303" w:type="dxa"/>
          </w:tcPr>
          <w:p w14:paraId="155FDBB1" w14:textId="095DE57C" w:rsidR="003161EA" w:rsidRPr="0099632B" w:rsidRDefault="003161EA" w:rsidP="003161EA">
            <w:pPr>
              <w:rPr>
                <w:rFonts w:ascii="Arial" w:hAnsi="Arial" w:cs="Arial"/>
                <w:color w:val="000000"/>
                <w:sz w:val="20"/>
                <w:szCs w:val="20"/>
              </w:rPr>
            </w:pPr>
            <w:r w:rsidRPr="0099632B">
              <w:rPr>
                <w:rFonts w:ascii="Arial" w:hAnsi="Arial" w:cs="Arial"/>
              </w:rPr>
              <w:t>3.0%</w:t>
            </w:r>
          </w:p>
        </w:tc>
      </w:tr>
      <w:tr w:rsidR="003161EA" w:rsidRPr="0099632B" w14:paraId="2E0BA7DA" w14:textId="77777777" w:rsidTr="00B364E7">
        <w:tc>
          <w:tcPr>
            <w:tcW w:w="1811" w:type="dxa"/>
            <w:shd w:val="clear" w:color="auto" w:fill="D9D9D9" w:themeFill="background1" w:themeFillShade="D9"/>
            <w:vAlign w:val="bottom"/>
          </w:tcPr>
          <w:p w14:paraId="409540A4" w14:textId="482A5541" w:rsidR="003161EA" w:rsidRPr="0099632B" w:rsidRDefault="003161EA" w:rsidP="003161EA">
            <w:pPr>
              <w:rPr>
                <w:rFonts w:ascii="Arial" w:hAnsi="Arial" w:cs="Arial"/>
                <w:color w:val="000000"/>
                <w:sz w:val="20"/>
                <w:szCs w:val="20"/>
              </w:rPr>
            </w:pPr>
            <w:r w:rsidRPr="0099632B">
              <w:rPr>
                <w:rFonts w:ascii="Arial" w:hAnsi="Arial" w:cs="Arial"/>
                <w:color w:val="000000"/>
                <w:sz w:val="20"/>
                <w:szCs w:val="20"/>
              </w:rPr>
              <w:t>Indirect GSP (%)</w:t>
            </w:r>
          </w:p>
        </w:tc>
        <w:tc>
          <w:tcPr>
            <w:tcW w:w="1303" w:type="dxa"/>
          </w:tcPr>
          <w:p w14:paraId="38DDAD7E" w14:textId="24FA38B2" w:rsidR="003161EA" w:rsidRPr="0099632B" w:rsidRDefault="003161EA" w:rsidP="003161EA">
            <w:pPr>
              <w:rPr>
                <w:rFonts w:ascii="Arial" w:hAnsi="Arial" w:cs="Arial"/>
                <w:color w:val="000000"/>
                <w:sz w:val="20"/>
                <w:szCs w:val="20"/>
              </w:rPr>
            </w:pPr>
            <w:r w:rsidRPr="0099632B">
              <w:rPr>
                <w:rFonts w:ascii="Arial" w:hAnsi="Arial" w:cs="Arial"/>
              </w:rPr>
              <w:t>3.2%</w:t>
            </w:r>
          </w:p>
        </w:tc>
        <w:tc>
          <w:tcPr>
            <w:tcW w:w="1303" w:type="dxa"/>
          </w:tcPr>
          <w:p w14:paraId="2B55936A" w14:textId="5D99014C" w:rsidR="003161EA" w:rsidRPr="0099632B" w:rsidRDefault="003161EA" w:rsidP="003161EA">
            <w:pPr>
              <w:rPr>
                <w:rFonts w:ascii="Arial" w:hAnsi="Arial" w:cs="Arial"/>
                <w:color w:val="000000"/>
                <w:sz w:val="20"/>
                <w:szCs w:val="20"/>
              </w:rPr>
            </w:pPr>
            <w:r w:rsidRPr="0099632B">
              <w:rPr>
                <w:rFonts w:ascii="Arial" w:hAnsi="Arial" w:cs="Arial"/>
              </w:rPr>
              <w:t>2.6%</w:t>
            </w:r>
          </w:p>
        </w:tc>
        <w:tc>
          <w:tcPr>
            <w:tcW w:w="1303" w:type="dxa"/>
          </w:tcPr>
          <w:p w14:paraId="0D051EC8" w14:textId="428A8964" w:rsidR="003161EA" w:rsidRPr="0099632B" w:rsidRDefault="003161EA" w:rsidP="003161EA">
            <w:pPr>
              <w:rPr>
                <w:rFonts w:ascii="Arial" w:hAnsi="Arial" w:cs="Arial"/>
                <w:color w:val="000000"/>
                <w:sz w:val="20"/>
                <w:szCs w:val="20"/>
              </w:rPr>
            </w:pPr>
            <w:r w:rsidRPr="0099632B">
              <w:rPr>
                <w:rFonts w:ascii="Arial" w:hAnsi="Arial" w:cs="Arial"/>
              </w:rPr>
              <w:t>1.3%</w:t>
            </w:r>
          </w:p>
        </w:tc>
        <w:tc>
          <w:tcPr>
            <w:tcW w:w="1303" w:type="dxa"/>
          </w:tcPr>
          <w:p w14:paraId="187A86E5" w14:textId="535D0C9A" w:rsidR="003161EA" w:rsidRPr="0099632B" w:rsidRDefault="003161EA" w:rsidP="003161EA">
            <w:pPr>
              <w:rPr>
                <w:rFonts w:ascii="Arial" w:hAnsi="Arial" w:cs="Arial"/>
                <w:color w:val="000000"/>
                <w:sz w:val="20"/>
                <w:szCs w:val="20"/>
              </w:rPr>
            </w:pPr>
            <w:r w:rsidRPr="0099632B">
              <w:rPr>
                <w:rFonts w:ascii="Arial" w:hAnsi="Arial" w:cs="Arial"/>
              </w:rPr>
              <w:t>1.7%</w:t>
            </w:r>
          </w:p>
        </w:tc>
        <w:tc>
          <w:tcPr>
            <w:tcW w:w="1303" w:type="dxa"/>
          </w:tcPr>
          <w:p w14:paraId="2F95C76C" w14:textId="67D1A45C" w:rsidR="003161EA" w:rsidRPr="0099632B" w:rsidRDefault="003161EA" w:rsidP="003161EA">
            <w:pPr>
              <w:rPr>
                <w:rFonts w:ascii="Arial" w:hAnsi="Arial" w:cs="Arial"/>
                <w:color w:val="000000"/>
                <w:sz w:val="20"/>
                <w:szCs w:val="20"/>
              </w:rPr>
            </w:pPr>
            <w:r w:rsidRPr="0099632B">
              <w:rPr>
                <w:rFonts w:ascii="Arial" w:hAnsi="Arial" w:cs="Arial"/>
              </w:rPr>
              <w:t>2.8%</w:t>
            </w:r>
          </w:p>
        </w:tc>
        <w:tc>
          <w:tcPr>
            <w:tcW w:w="1303" w:type="dxa"/>
          </w:tcPr>
          <w:p w14:paraId="201057F9" w14:textId="110DAFB3" w:rsidR="003161EA" w:rsidRPr="0099632B" w:rsidRDefault="003161EA" w:rsidP="003161EA">
            <w:pPr>
              <w:rPr>
                <w:rFonts w:ascii="Arial" w:hAnsi="Arial" w:cs="Arial"/>
                <w:color w:val="000000"/>
                <w:sz w:val="20"/>
                <w:szCs w:val="20"/>
              </w:rPr>
            </w:pPr>
            <w:r w:rsidRPr="0099632B">
              <w:rPr>
                <w:rFonts w:ascii="Arial" w:hAnsi="Arial" w:cs="Arial"/>
              </w:rPr>
              <w:t>3.0%</w:t>
            </w:r>
          </w:p>
        </w:tc>
      </w:tr>
      <w:tr w:rsidR="003161EA" w:rsidRPr="0099632B" w14:paraId="36B932AD" w14:textId="77777777" w:rsidTr="00B364E7">
        <w:tc>
          <w:tcPr>
            <w:tcW w:w="1811" w:type="dxa"/>
            <w:shd w:val="clear" w:color="auto" w:fill="D9D9D9" w:themeFill="background1" w:themeFillShade="D9"/>
            <w:vAlign w:val="bottom"/>
          </w:tcPr>
          <w:p w14:paraId="1033191C" w14:textId="247DEC00" w:rsidR="003161EA" w:rsidRPr="0099632B" w:rsidRDefault="003161EA" w:rsidP="003161EA">
            <w:pPr>
              <w:rPr>
                <w:rFonts w:ascii="Arial" w:hAnsi="Arial" w:cs="Arial"/>
                <w:b/>
                <w:bCs/>
                <w:color w:val="000000"/>
                <w:sz w:val="20"/>
                <w:szCs w:val="20"/>
              </w:rPr>
            </w:pPr>
            <w:r w:rsidRPr="0099632B">
              <w:rPr>
                <w:rFonts w:ascii="Arial" w:hAnsi="Arial" w:cs="Arial"/>
                <w:b/>
                <w:bCs/>
                <w:color w:val="000000"/>
                <w:sz w:val="20"/>
                <w:szCs w:val="20"/>
              </w:rPr>
              <w:t>Total GSP (%)</w:t>
            </w:r>
          </w:p>
        </w:tc>
        <w:tc>
          <w:tcPr>
            <w:tcW w:w="1303" w:type="dxa"/>
          </w:tcPr>
          <w:p w14:paraId="13570285" w14:textId="673FA54A" w:rsidR="003161EA" w:rsidRPr="0099632B" w:rsidRDefault="003161EA" w:rsidP="003161EA">
            <w:pPr>
              <w:rPr>
                <w:rFonts w:ascii="Arial" w:hAnsi="Arial" w:cs="Arial"/>
                <w:color w:val="000000"/>
                <w:sz w:val="20"/>
                <w:szCs w:val="20"/>
              </w:rPr>
            </w:pPr>
            <w:r w:rsidRPr="0099632B">
              <w:rPr>
                <w:rFonts w:ascii="Arial" w:hAnsi="Arial" w:cs="Arial"/>
              </w:rPr>
              <w:t>6.3%</w:t>
            </w:r>
          </w:p>
        </w:tc>
        <w:tc>
          <w:tcPr>
            <w:tcW w:w="1303" w:type="dxa"/>
          </w:tcPr>
          <w:p w14:paraId="0C085667" w14:textId="2C3565FF" w:rsidR="003161EA" w:rsidRPr="0099632B" w:rsidRDefault="003161EA" w:rsidP="003161EA">
            <w:pPr>
              <w:rPr>
                <w:rFonts w:ascii="Arial" w:hAnsi="Arial" w:cs="Arial"/>
                <w:color w:val="000000"/>
                <w:sz w:val="20"/>
                <w:szCs w:val="20"/>
              </w:rPr>
            </w:pPr>
            <w:r w:rsidRPr="0099632B">
              <w:rPr>
                <w:rFonts w:ascii="Arial" w:hAnsi="Arial" w:cs="Arial"/>
              </w:rPr>
              <w:t>5.0%</w:t>
            </w:r>
          </w:p>
        </w:tc>
        <w:tc>
          <w:tcPr>
            <w:tcW w:w="1303" w:type="dxa"/>
          </w:tcPr>
          <w:p w14:paraId="36E755BB" w14:textId="0CA34157" w:rsidR="003161EA" w:rsidRPr="0099632B" w:rsidRDefault="003161EA" w:rsidP="003161EA">
            <w:pPr>
              <w:rPr>
                <w:rFonts w:ascii="Arial" w:hAnsi="Arial" w:cs="Arial"/>
                <w:color w:val="000000"/>
                <w:sz w:val="20"/>
                <w:szCs w:val="20"/>
              </w:rPr>
            </w:pPr>
            <w:r w:rsidRPr="0099632B">
              <w:rPr>
                <w:rFonts w:ascii="Arial" w:hAnsi="Arial" w:cs="Arial"/>
              </w:rPr>
              <w:t>2.4%</w:t>
            </w:r>
          </w:p>
        </w:tc>
        <w:tc>
          <w:tcPr>
            <w:tcW w:w="1303" w:type="dxa"/>
          </w:tcPr>
          <w:p w14:paraId="63D0B622" w14:textId="3AFB42C3" w:rsidR="003161EA" w:rsidRPr="0099632B" w:rsidRDefault="003161EA" w:rsidP="003161EA">
            <w:pPr>
              <w:rPr>
                <w:rFonts w:ascii="Arial" w:hAnsi="Arial" w:cs="Arial"/>
                <w:color w:val="000000"/>
                <w:sz w:val="20"/>
                <w:szCs w:val="20"/>
              </w:rPr>
            </w:pPr>
            <w:r w:rsidRPr="0099632B">
              <w:rPr>
                <w:rFonts w:ascii="Arial" w:hAnsi="Arial" w:cs="Arial"/>
              </w:rPr>
              <w:t>3.2%</w:t>
            </w:r>
          </w:p>
        </w:tc>
        <w:tc>
          <w:tcPr>
            <w:tcW w:w="1303" w:type="dxa"/>
          </w:tcPr>
          <w:p w14:paraId="58E80FF7" w14:textId="44F9C26F" w:rsidR="003161EA" w:rsidRPr="0099632B" w:rsidRDefault="003161EA" w:rsidP="003161EA">
            <w:pPr>
              <w:rPr>
                <w:rFonts w:ascii="Arial" w:hAnsi="Arial" w:cs="Arial"/>
                <w:color w:val="000000"/>
                <w:sz w:val="20"/>
                <w:szCs w:val="20"/>
              </w:rPr>
            </w:pPr>
            <w:r w:rsidRPr="0099632B">
              <w:rPr>
                <w:rFonts w:ascii="Arial" w:hAnsi="Arial" w:cs="Arial"/>
              </w:rPr>
              <w:t>5.6%</w:t>
            </w:r>
          </w:p>
        </w:tc>
        <w:tc>
          <w:tcPr>
            <w:tcW w:w="1303" w:type="dxa"/>
          </w:tcPr>
          <w:p w14:paraId="59B959DC" w14:textId="211CA891" w:rsidR="003161EA" w:rsidRPr="0099632B" w:rsidRDefault="003161EA" w:rsidP="003161EA">
            <w:pPr>
              <w:rPr>
                <w:rFonts w:ascii="Arial" w:hAnsi="Arial" w:cs="Arial"/>
                <w:color w:val="000000"/>
                <w:sz w:val="20"/>
                <w:szCs w:val="20"/>
              </w:rPr>
            </w:pPr>
            <w:r w:rsidRPr="0099632B">
              <w:rPr>
                <w:rFonts w:ascii="Arial" w:hAnsi="Arial" w:cs="Arial"/>
              </w:rPr>
              <w:t>5.9%</w:t>
            </w:r>
          </w:p>
        </w:tc>
      </w:tr>
    </w:tbl>
    <w:p w14:paraId="59DE07BC" w14:textId="23FECE45" w:rsidR="002F0A29" w:rsidRPr="0099632B" w:rsidRDefault="002F0A29" w:rsidP="001849BC">
      <w:pPr>
        <w:pStyle w:val="NoSpacing"/>
        <w:rPr>
          <w:rFonts w:ascii="Arial" w:eastAsiaTheme="majorEastAsia" w:hAnsi="Arial" w:cs="Arial"/>
        </w:rPr>
      </w:pPr>
    </w:p>
    <w:p w14:paraId="1F454CF4" w14:textId="6AB0E880" w:rsidR="00C633FF" w:rsidRPr="0099632B" w:rsidRDefault="00A71CCE" w:rsidP="00313271">
      <w:pPr>
        <w:pStyle w:val="Heading3"/>
        <w:spacing w:after="120"/>
        <w:rPr>
          <w:rFonts w:ascii="Arial" w:eastAsiaTheme="minorHAnsi" w:hAnsi="Arial" w:cs="Arial"/>
          <w:color w:val="002060"/>
        </w:rPr>
      </w:pPr>
      <w:r w:rsidRPr="0099632B">
        <w:rPr>
          <w:rFonts w:ascii="Arial" w:eastAsiaTheme="minorHAnsi" w:hAnsi="Arial" w:cs="Arial"/>
          <w:color w:val="002060"/>
        </w:rPr>
        <w:t xml:space="preserve">9.2.3 </w:t>
      </w:r>
      <w:r w:rsidR="00142E69" w:rsidRPr="0099632B">
        <w:rPr>
          <w:rFonts w:ascii="Arial" w:eastAsiaTheme="minorHAnsi" w:hAnsi="Arial" w:cs="Arial"/>
          <w:color w:val="002060"/>
        </w:rPr>
        <w:t xml:space="preserve">Percentage </w:t>
      </w:r>
      <w:r w:rsidR="00C633FF" w:rsidRPr="0099632B">
        <w:rPr>
          <w:rFonts w:ascii="Arial" w:eastAsiaTheme="minorHAnsi" w:hAnsi="Arial" w:cs="Arial"/>
          <w:color w:val="002060"/>
        </w:rPr>
        <w:t xml:space="preserve">change in </w:t>
      </w:r>
      <w:r w:rsidR="00D31433" w:rsidRPr="0099632B">
        <w:rPr>
          <w:rFonts w:ascii="Arial" w:eastAsiaTheme="minorHAnsi" w:hAnsi="Arial" w:cs="Arial"/>
          <w:color w:val="002060"/>
        </w:rPr>
        <w:t xml:space="preserve">the volume of </w:t>
      </w:r>
      <w:r w:rsidR="00C633FF" w:rsidRPr="0099632B">
        <w:rPr>
          <w:rFonts w:ascii="Arial" w:eastAsiaTheme="minorHAnsi" w:hAnsi="Arial" w:cs="Arial"/>
          <w:color w:val="002060"/>
        </w:rPr>
        <w:t xml:space="preserve">direct, indirect and total Gross </w:t>
      </w:r>
      <w:r w:rsidR="00D14627" w:rsidRPr="0099632B">
        <w:rPr>
          <w:rFonts w:ascii="Arial" w:eastAsiaTheme="minorHAnsi" w:hAnsi="Arial" w:cs="Arial"/>
          <w:color w:val="002060"/>
        </w:rPr>
        <w:t>State Product</w:t>
      </w:r>
      <w:r w:rsidR="00C633FF" w:rsidRPr="0099632B">
        <w:rPr>
          <w:rFonts w:ascii="Arial" w:eastAsiaTheme="minorHAnsi" w:hAnsi="Arial" w:cs="Arial"/>
          <w:color w:val="002060"/>
        </w:rPr>
        <w:t xml:space="preserve"> (G</w:t>
      </w:r>
      <w:r w:rsidR="00D14627" w:rsidRPr="0099632B">
        <w:rPr>
          <w:rFonts w:ascii="Arial" w:eastAsiaTheme="minorHAnsi" w:hAnsi="Arial" w:cs="Arial"/>
          <w:color w:val="002060"/>
        </w:rPr>
        <w:t>SP</w:t>
      </w:r>
      <w:r w:rsidR="00C633FF" w:rsidRPr="0099632B">
        <w:rPr>
          <w:rFonts w:ascii="Arial" w:eastAsiaTheme="minorHAnsi" w:hAnsi="Arial" w:cs="Arial"/>
          <w:color w:val="002060"/>
        </w:rPr>
        <w:t>) in Victoria compared to previous financial years.</w:t>
      </w:r>
    </w:p>
    <w:tbl>
      <w:tblPr>
        <w:tblStyle w:val="TableGrid"/>
        <w:tblW w:w="9634" w:type="dxa"/>
        <w:tblLayout w:type="fixed"/>
        <w:tblLook w:val="04A0" w:firstRow="1" w:lastRow="0" w:firstColumn="1" w:lastColumn="0" w:noHBand="0" w:noVBand="1"/>
      </w:tblPr>
      <w:tblGrid>
        <w:gridCol w:w="1814"/>
        <w:gridCol w:w="4135"/>
        <w:gridCol w:w="3685"/>
      </w:tblGrid>
      <w:tr w:rsidR="003161EA" w:rsidRPr="0099632B" w14:paraId="3E20F9D8" w14:textId="77777777" w:rsidTr="003161EA">
        <w:trPr>
          <w:tblHeader/>
        </w:trPr>
        <w:tc>
          <w:tcPr>
            <w:tcW w:w="1814" w:type="dxa"/>
            <w:shd w:val="clear" w:color="auto" w:fill="D9D9D9" w:themeFill="background1" w:themeFillShade="D9"/>
          </w:tcPr>
          <w:p w14:paraId="03CEC283" w14:textId="77777777" w:rsidR="003161EA" w:rsidRPr="0099632B" w:rsidRDefault="003161EA" w:rsidP="00DD724B">
            <w:pPr>
              <w:rPr>
                <w:rFonts w:ascii="Arial" w:eastAsiaTheme="majorEastAsia" w:hAnsi="Arial" w:cs="Arial"/>
                <w:b/>
                <w:bCs/>
                <w:color w:val="2F5496" w:themeColor="accent1" w:themeShade="BF"/>
                <w:sz w:val="24"/>
                <w:szCs w:val="24"/>
              </w:rPr>
            </w:pPr>
            <w:bookmarkStart w:id="63" w:name="Title_20" w:colFirst="0" w:colLast="0"/>
          </w:p>
        </w:tc>
        <w:tc>
          <w:tcPr>
            <w:tcW w:w="4135" w:type="dxa"/>
            <w:shd w:val="clear" w:color="auto" w:fill="D9D9D9" w:themeFill="background1" w:themeFillShade="D9"/>
          </w:tcPr>
          <w:p w14:paraId="21D19E4D" w14:textId="020E91C9" w:rsidR="003161EA" w:rsidRPr="0099632B" w:rsidRDefault="003161EA" w:rsidP="00DD724B">
            <w:pPr>
              <w:rPr>
                <w:rFonts w:ascii="Arial" w:eastAsiaTheme="majorEastAsia" w:hAnsi="Arial" w:cs="Arial"/>
                <w:color w:val="2F5496" w:themeColor="accent1" w:themeShade="BF"/>
                <w:sz w:val="24"/>
                <w:szCs w:val="24"/>
              </w:rPr>
            </w:pPr>
            <w:r w:rsidRPr="0099632B">
              <w:rPr>
                <w:rFonts w:ascii="Arial" w:hAnsi="Arial" w:cs="Arial"/>
                <w:b/>
                <w:bCs/>
                <w:sz w:val="20"/>
                <w:szCs w:val="20"/>
              </w:rPr>
              <w:t>Year-on year change 2022-23 to 2023-24</w:t>
            </w:r>
          </w:p>
        </w:tc>
        <w:tc>
          <w:tcPr>
            <w:tcW w:w="3685" w:type="dxa"/>
            <w:shd w:val="clear" w:color="auto" w:fill="D9D9D9" w:themeFill="background1" w:themeFillShade="D9"/>
          </w:tcPr>
          <w:p w14:paraId="01B2A999" w14:textId="0A1E3CA1" w:rsidR="003161EA" w:rsidRPr="0099632B" w:rsidRDefault="003161EA" w:rsidP="00DD724B">
            <w:pPr>
              <w:rPr>
                <w:rFonts w:ascii="Arial" w:eastAsiaTheme="majorEastAsia" w:hAnsi="Arial" w:cs="Arial"/>
                <w:color w:val="2F5496" w:themeColor="accent1" w:themeShade="BF"/>
                <w:sz w:val="24"/>
                <w:szCs w:val="24"/>
              </w:rPr>
            </w:pPr>
            <w:r w:rsidRPr="0099632B">
              <w:rPr>
                <w:rFonts w:ascii="Arial" w:hAnsi="Arial" w:cs="Arial"/>
                <w:b/>
                <w:bCs/>
                <w:sz w:val="20"/>
                <w:szCs w:val="20"/>
              </w:rPr>
              <w:t xml:space="preserve">5 </w:t>
            </w:r>
            <w:proofErr w:type="gramStart"/>
            <w:r w:rsidRPr="0099632B">
              <w:rPr>
                <w:rFonts w:ascii="Arial" w:hAnsi="Arial" w:cs="Arial"/>
                <w:b/>
                <w:bCs/>
                <w:sz w:val="20"/>
                <w:szCs w:val="20"/>
              </w:rPr>
              <w:t>year</w:t>
            </w:r>
            <w:proofErr w:type="gramEnd"/>
            <w:r w:rsidRPr="0099632B">
              <w:rPr>
                <w:rFonts w:ascii="Arial" w:hAnsi="Arial" w:cs="Arial"/>
                <w:b/>
                <w:bCs/>
                <w:sz w:val="20"/>
                <w:szCs w:val="20"/>
              </w:rPr>
              <w:t xml:space="preserve"> change 2018-19 to 2023-24</w:t>
            </w:r>
          </w:p>
        </w:tc>
      </w:tr>
      <w:bookmarkEnd w:id="63"/>
      <w:tr w:rsidR="003161EA" w:rsidRPr="0099632B" w14:paraId="6AFB2977" w14:textId="77777777" w:rsidTr="003161EA">
        <w:tc>
          <w:tcPr>
            <w:tcW w:w="1814" w:type="dxa"/>
            <w:shd w:val="clear" w:color="auto" w:fill="D9D9D9" w:themeFill="background1" w:themeFillShade="D9"/>
          </w:tcPr>
          <w:p w14:paraId="121DB435" w14:textId="1EE35A9A" w:rsidR="003161EA" w:rsidRPr="0099632B" w:rsidRDefault="003161EA" w:rsidP="00062115">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 xml:space="preserve">Direct GSP </w:t>
            </w:r>
          </w:p>
        </w:tc>
        <w:tc>
          <w:tcPr>
            <w:tcW w:w="4135" w:type="dxa"/>
          </w:tcPr>
          <w:p w14:paraId="75C67923" w14:textId="51C85068" w:rsidR="003161EA" w:rsidRPr="0099632B" w:rsidRDefault="003161EA" w:rsidP="0006211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A06242" w:rsidRPr="0099632B">
              <w:rPr>
                <w:rFonts w:ascii="Arial" w:hAnsi="Arial" w:cs="Arial"/>
              </w:rPr>
              <w:t>13</w:t>
            </w:r>
            <w:r w:rsidRPr="0099632B">
              <w:rPr>
                <w:rFonts w:ascii="Arial" w:hAnsi="Arial" w:cs="Arial"/>
              </w:rPr>
              <w:t xml:space="preserve">% compared to 2022-23 financial year </w:t>
            </w:r>
          </w:p>
        </w:tc>
        <w:tc>
          <w:tcPr>
            <w:tcW w:w="3685" w:type="dxa"/>
          </w:tcPr>
          <w:p w14:paraId="5A22253B" w14:textId="73E354E0" w:rsidR="003161EA" w:rsidRPr="0099632B" w:rsidRDefault="00A06242" w:rsidP="00062115">
            <w:pPr>
              <w:rPr>
                <w:rFonts w:ascii="Arial" w:eastAsiaTheme="majorEastAsia" w:hAnsi="Arial" w:cs="Arial"/>
                <w:color w:val="2F5496" w:themeColor="accent1" w:themeShade="BF"/>
                <w:sz w:val="24"/>
                <w:szCs w:val="24"/>
              </w:rPr>
            </w:pPr>
            <w:r w:rsidRPr="0099632B">
              <w:rPr>
                <w:rFonts w:ascii="Arial" w:hAnsi="Arial" w:cs="Arial"/>
              </w:rPr>
              <w:t>In</w:t>
            </w:r>
            <w:r w:rsidR="003161EA" w:rsidRPr="0099632B">
              <w:rPr>
                <w:rFonts w:ascii="Arial" w:hAnsi="Arial" w:cs="Arial"/>
              </w:rPr>
              <w:t xml:space="preserve">creased </w:t>
            </w:r>
            <w:r w:rsidR="00FF220B" w:rsidRPr="0099632B">
              <w:rPr>
                <w:rFonts w:ascii="Arial" w:hAnsi="Arial" w:cs="Arial"/>
              </w:rPr>
              <w:t>24</w:t>
            </w:r>
            <w:r w:rsidR="003161EA" w:rsidRPr="0099632B">
              <w:rPr>
                <w:rFonts w:ascii="Arial" w:hAnsi="Arial" w:cs="Arial"/>
              </w:rPr>
              <w:t xml:space="preserve">% compared to 2018-19 financial year </w:t>
            </w:r>
          </w:p>
        </w:tc>
      </w:tr>
      <w:tr w:rsidR="003161EA" w:rsidRPr="0099632B" w14:paraId="138BCF3C" w14:textId="77777777" w:rsidTr="003161EA">
        <w:tc>
          <w:tcPr>
            <w:tcW w:w="1814" w:type="dxa"/>
            <w:shd w:val="clear" w:color="auto" w:fill="D9D9D9" w:themeFill="background1" w:themeFillShade="D9"/>
          </w:tcPr>
          <w:p w14:paraId="40729CB0" w14:textId="08AE3992" w:rsidR="003161EA" w:rsidRPr="0099632B" w:rsidRDefault="003161EA" w:rsidP="00062115">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 xml:space="preserve">Indirect GSP </w:t>
            </w:r>
          </w:p>
        </w:tc>
        <w:tc>
          <w:tcPr>
            <w:tcW w:w="4135" w:type="dxa"/>
          </w:tcPr>
          <w:p w14:paraId="64316A2C" w14:textId="1CE447BD" w:rsidR="003161EA" w:rsidRPr="0099632B" w:rsidRDefault="003161EA" w:rsidP="0006211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A06242" w:rsidRPr="0099632B">
              <w:rPr>
                <w:rFonts w:ascii="Arial" w:hAnsi="Arial" w:cs="Arial"/>
              </w:rPr>
              <w:t>12</w:t>
            </w:r>
            <w:r w:rsidRPr="0099632B">
              <w:rPr>
                <w:rFonts w:ascii="Arial" w:hAnsi="Arial" w:cs="Arial"/>
              </w:rPr>
              <w:t xml:space="preserve">% compared to 2022-23 financial year </w:t>
            </w:r>
          </w:p>
        </w:tc>
        <w:tc>
          <w:tcPr>
            <w:tcW w:w="3685" w:type="dxa"/>
          </w:tcPr>
          <w:p w14:paraId="56C30B0D" w14:textId="6B0CC2B2" w:rsidR="003161EA" w:rsidRPr="0099632B" w:rsidRDefault="00A06242" w:rsidP="00062115">
            <w:pPr>
              <w:rPr>
                <w:rFonts w:ascii="Arial" w:eastAsiaTheme="majorEastAsia" w:hAnsi="Arial" w:cs="Arial"/>
                <w:color w:val="2F5496" w:themeColor="accent1" w:themeShade="BF"/>
                <w:sz w:val="24"/>
                <w:szCs w:val="24"/>
              </w:rPr>
            </w:pPr>
            <w:r w:rsidRPr="0099632B">
              <w:rPr>
                <w:rFonts w:ascii="Arial" w:hAnsi="Arial" w:cs="Arial"/>
              </w:rPr>
              <w:t>In</w:t>
            </w:r>
            <w:r w:rsidR="003161EA" w:rsidRPr="0099632B">
              <w:rPr>
                <w:rFonts w:ascii="Arial" w:hAnsi="Arial" w:cs="Arial"/>
              </w:rPr>
              <w:t xml:space="preserve">creased </w:t>
            </w:r>
            <w:r w:rsidR="00FF220B" w:rsidRPr="0099632B">
              <w:rPr>
                <w:rFonts w:ascii="Arial" w:hAnsi="Arial" w:cs="Arial"/>
              </w:rPr>
              <w:t>21</w:t>
            </w:r>
            <w:r w:rsidR="003161EA" w:rsidRPr="0099632B">
              <w:rPr>
                <w:rFonts w:ascii="Arial" w:hAnsi="Arial" w:cs="Arial"/>
              </w:rPr>
              <w:t xml:space="preserve">% compared to 2018-19 financial year </w:t>
            </w:r>
          </w:p>
        </w:tc>
      </w:tr>
      <w:tr w:rsidR="003161EA" w:rsidRPr="00B82E1F" w14:paraId="4344CB84" w14:textId="77777777" w:rsidTr="003161EA">
        <w:tc>
          <w:tcPr>
            <w:tcW w:w="1814" w:type="dxa"/>
            <w:shd w:val="clear" w:color="auto" w:fill="D9D9D9" w:themeFill="background1" w:themeFillShade="D9"/>
          </w:tcPr>
          <w:p w14:paraId="7599FEA5" w14:textId="75C45999" w:rsidR="003161EA" w:rsidRPr="0099632B" w:rsidRDefault="003161EA" w:rsidP="00062115">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 xml:space="preserve">Total GSP </w:t>
            </w:r>
          </w:p>
        </w:tc>
        <w:tc>
          <w:tcPr>
            <w:tcW w:w="4135" w:type="dxa"/>
          </w:tcPr>
          <w:p w14:paraId="183C0F80" w14:textId="18213B55" w:rsidR="003161EA" w:rsidRPr="0099632B" w:rsidRDefault="003161EA" w:rsidP="0006211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A06242" w:rsidRPr="0099632B">
              <w:rPr>
                <w:rFonts w:ascii="Arial" w:hAnsi="Arial" w:cs="Arial"/>
              </w:rPr>
              <w:t>13</w:t>
            </w:r>
            <w:r w:rsidRPr="0099632B">
              <w:rPr>
                <w:rFonts w:ascii="Arial" w:hAnsi="Arial" w:cs="Arial"/>
              </w:rPr>
              <w:t xml:space="preserve">% compared to 2022-23 financial year </w:t>
            </w:r>
          </w:p>
        </w:tc>
        <w:tc>
          <w:tcPr>
            <w:tcW w:w="3685" w:type="dxa"/>
          </w:tcPr>
          <w:p w14:paraId="532B6815" w14:textId="3FC64D23" w:rsidR="003161EA" w:rsidRPr="0099632B" w:rsidRDefault="00A06242" w:rsidP="00062115">
            <w:pPr>
              <w:rPr>
                <w:rFonts w:ascii="Arial" w:eastAsiaTheme="majorEastAsia" w:hAnsi="Arial" w:cs="Arial"/>
                <w:color w:val="2F5496" w:themeColor="accent1" w:themeShade="BF"/>
                <w:sz w:val="24"/>
                <w:szCs w:val="24"/>
              </w:rPr>
            </w:pPr>
            <w:r w:rsidRPr="0099632B">
              <w:rPr>
                <w:rFonts w:ascii="Arial" w:hAnsi="Arial" w:cs="Arial"/>
              </w:rPr>
              <w:t>In</w:t>
            </w:r>
            <w:r w:rsidR="003161EA" w:rsidRPr="0099632B">
              <w:rPr>
                <w:rFonts w:ascii="Arial" w:hAnsi="Arial" w:cs="Arial"/>
              </w:rPr>
              <w:t xml:space="preserve">creased </w:t>
            </w:r>
            <w:r w:rsidR="00FF220B" w:rsidRPr="0099632B">
              <w:rPr>
                <w:rFonts w:ascii="Arial" w:hAnsi="Arial" w:cs="Arial"/>
              </w:rPr>
              <w:t>23</w:t>
            </w:r>
            <w:r w:rsidR="003161EA" w:rsidRPr="0099632B">
              <w:rPr>
                <w:rFonts w:ascii="Arial" w:hAnsi="Arial" w:cs="Arial"/>
              </w:rPr>
              <w:t xml:space="preserve">% compared to 2018-19 financial year </w:t>
            </w:r>
          </w:p>
        </w:tc>
      </w:tr>
    </w:tbl>
    <w:p w14:paraId="60846BC2" w14:textId="77777777" w:rsidR="00CE63EC" w:rsidRPr="00B82E1F" w:rsidRDefault="00CE63EC" w:rsidP="001849BC">
      <w:pPr>
        <w:pStyle w:val="NoSpacing"/>
        <w:rPr>
          <w:rFonts w:ascii="Arial" w:hAnsi="Arial" w:cs="Arial"/>
        </w:rPr>
      </w:pPr>
    </w:p>
    <w:p w14:paraId="46904B41" w14:textId="1248E464" w:rsidR="00CE63EC" w:rsidRPr="0099632B" w:rsidRDefault="00A71CCE" w:rsidP="00313271">
      <w:pPr>
        <w:pStyle w:val="Heading3"/>
        <w:spacing w:after="120"/>
        <w:rPr>
          <w:rFonts w:ascii="Arial" w:eastAsiaTheme="minorHAnsi" w:hAnsi="Arial" w:cs="Arial"/>
          <w:color w:val="002060"/>
        </w:rPr>
      </w:pPr>
      <w:r w:rsidRPr="00B82E1F">
        <w:rPr>
          <w:rFonts w:ascii="Arial" w:eastAsiaTheme="minorHAnsi" w:hAnsi="Arial" w:cs="Arial"/>
          <w:color w:val="002060"/>
        </w:rPr>
        <w:t xml:space="preserve">9.2.4 </w:t>
      </w:r>
      <w:r w:rsidR="00142E69" w:rsidRPr="0099632B">
        <w:rPr>
          <w:rFonts w:ascii="Arial" w:eastAsiaTheme="minorHAnsi" w:hAnsi="Arial" w:cs="Arial"/>
          <w:color w:val="002060"/>
        </w:rPr>
        <w:t xml:space="preserve">Percentage </w:t>
      </w:r>
      <w:r w:rsidR="00CE63EC" w:rsidRPr="0099632B">
        <w:rPr>
          <w:rFonts w:ascii="Arial" w:eastAsiaTheme="minorHAnsi" w:hAnsi="Arial" w:cs="Arial"/>
          <w:color w:val="002060"/>
        </w:rPr>
        <w:t xml:space="preserve">point change in the contribution of direct, indirect and total Gross State Product (GSP) to Victoria’s economy compared to previous financial years </w:t>
      </w:r>
    </w:p>
    <w:tbl>
      <w:tblPr>
        <w:tblStyle w:val="TableGrid"/>
        <w:tblW w:w="9634" w:type="dxa"/>
        <w:tblLayout w:type="fixed"/>
        <w:tblLook w:val="04A0" w:firstRow="1" w:lastRow="0" w:firstColumn="1" w:lastColumn="0" w:noHBand="0" w:noVBand="1"/>
      </w:tblPr>
      <w:tblGrid>
        <w:gridCol w:w="1814"/>
        <w:gridCol w:w="4135"/>
        <w:gridCol w:w="3685"/>
      </w:tblGrid>
      <w:tr w:rsidR="003161EA" w:rsidRPr="0099632B" w14:paraId="62615621" w14:textId="77777777" w:rsidTr="003161EA">
        <w:trPr>
          <w:tblHeader/>
        </w:trPr>
        <w:tc>
          <w:tcPr>
            <w:tcW w:w="1814" w:type="dxa"/>
            <w:shd w:val="clear" w:color="auto" w:fill="D9D9D9" w:themeFill="background1" w:themeFillShade="D9"/>
          </w:tcPr>
          <w:p w14:paraId="77F7BB6D" w14:textId="77777777" w:rsidR="003161EA" w:rsidRPr="0099632B" w:rsidRDefault="003161EA" w:rsidP="00DD724B">
            <w:pPr>
              <w:rPr>
                <w:rFonts w:ascii="Arial" w:hAnsi="Arial" w:cs="Arial"/>
                <w:color w:val="000000"/>
                <w:sz w:val="20"/>
                <w:szCs w:val="20"/>
              </w:rPr>
            </w:pPr>
            <w:bookmarkStart w:id="64" w:name="Title_21" w:colFirst="0" w:colLast="0"/>
          </w:p>
        </w:tc>
        <w:tc>
          <w:tcPr>
            <w:tcW w:w="4135" w:type="dxa"/>
          </w:tcPr>
          <w:p w14:paraId="6A80E41D" w14:textId="03C010EE" w:rsidR="003161EA" w:rsidRPr="0099632B" w:rsidRDefault="003161EA" w:rsidP="00DD724B">
            <w:pPr>
              <w:rPr>
                <w:rFonts w:ascii="Arial" w:hAnsi="Arial" w:cs="Arial"/>
              </w:rPr>
            </w:pPr>
            <w:r w:rsidRPr="0099632B">
              <w:rPr>
                <w:rFonts w:ascii="Arial" w:hAnsi="Arial" w:cs="Arial"/>
                <w:b/>
                <w:bCs/>
                <w:sz w:val="20"/>
                <w:szCs w:val="20"/>
              </w:rPr>
              <w:t>Year-on year change 2022-23 to 2023-24</w:t>
            </w:r>
          </w:p>
        </w:tc>
        <w:tc>
          <w:tcPr>
            <w:tcW w:w="3685" w:type="dxa"/>
          </w:tcPr>
          <w:p w14:paraId="6DBC0D91" w14:textId="787D266C" w:rsidR="003161EA" w:rsidRPr="0099632B" w:rsidRDefault="003161EA" w:rsidP="00DD724B">
            <w:pPr>
              <w:rPr>
                <w:rFonts w:ascii="Arial" w:hAnsi="Arial" w:cs="Arial"/>
              </w:rPr>
            </w:pPr>
            <w:r w:rsidRPr="0099632B">
              <w:rPr>
                <w:rFonts w:ascii="Arial" w:hAnsi="Arial" w:cs="Arial"/>
                <w:b/>
                <w:bCs/>
                <w:sz w:val="20"/>
                <w:szCs w:val="20"/>
              </w:rPr>
              <w:t xml:space="preserve">5 </w:t>
            </w:r>
            <w:proofErr w:type="gramStart"/>
            <w:r w:rsidRPr="0099632B">
              <w:rPr>
                <w:rFonts w:ascii="Arial" w:hAnsi="Arial" w:cs="Arial"/>
                <w:b/>
                <w:bCs/>
                <w:sz w:val="20"/>
                <w:szCs w:val="20"/>
              </w:rPr>
              <w:t>year</w:t>
            </w:r>
            <w:proofErr w:type="gramEnd"/>
            <w:r w:rsidRPr="0099632B">
              <w:rPr>
                <w:rFonts w:ascii="Arial" w:hAnsi="Arial" w:cs="Arial"/>
                <w:b/>
                <w:bCs/>
                <w:sz w:val="20"/>
                <w:szCs w:val="20"/>
              </w:rPr>
              <w:t xml:space="preserve"> change 2018-19 to 2023-24</w:t>
            </w:r>
          </w:p>
        </w:tc>
      </w:tr>
      <w:bookmarkEnd w:id="64"/>
      <w:tr w:rsidR="003161EA" w:rsidRPr="0099632B" w14:paraId="77A6DC0B" w14:textId="77777777" w:rsidTr="003161EA">
        <w:tc>
          <w:tcPr>
            <w:tcW w:w="1814" w:type="dxa"/>
            <w:shd w:val="clear" w:color="auto" w:fill="D9D9D9" w:themeFill="background1" w:themeFillShade="D9"/>
          </w:tcPr>
          <w:p w14:paraId="41405148" w14:textId="52006F8D"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Direct GSP</w:t>
            </w:r>
          </w:p>
        </w:tc>
        <w:tc>
          <w:tcPr>
            <w:tcW w:w="4135" w:type="dxa"/>
          </w:tcPr>
          <w:p w14:paraId="1C5BCBE5" w14:textId="438FC2C9"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FF220B" w:rsidRPr="0099632B">
              <w:rPr>
                <w:rFonts w:ascii="Arial" w:hAnsi="Arial" w:cs="Arial"/>
              </w:rPr>
              <w:t>0.2</w:t>
            </w:r>
            <w:r w:rsidRPr="0099632B">
              <w:rPr>
                <w:rFonts w:ascii="Arial" w:hAnsi="Arial" w:cs="Arial"/>
              </w:rPr>
              <w:t>% point</w:t>
            </w:r>
            <w:r w:rsidR="00FF220B" w:rsidRPr="0099632B">
              <w:rPr>
                <w:rFonts w:ascii="Arial" w:hAnsi="Arial" w:cs="Arial"/>
              </w:rPr>
              <w:t>s</w:t>
            </w:r>
            <w:r w:rsidRPr="0099632B">
              <w:rPr>
                <w:rFonts w:ascii="Arial" w:hAnsi="Arial" w:cs="Arial"/>
              </w:rPr>
              <w:t xml:space="preserve"> compared to 2022-23 financial year </w:t>
            </w:r>
          </w:p>
        </w:tc>
        <w:tc>
          <w:tcPr>
            <w:tcW w:w="3685" w:type="dxa"/>
          </w:tcPr>
          <w:p w14:paraId="08A9DD99" w14:textId="49DACF20"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rPr>
              <w:t>Decreased 0.</w:t>
            </w:r>
            <w:r w:rsidR="002150DE" w:rsidRPr="0099632B">
              <w:rPr>
                <w:rFonts w:ascii="Arial" w:hAnsi="Arial" w:cs="Arial"/>
              </w:rPr>
              <w:t>2</w:t>
            </w:r>
            <w:r w:rsidRPr="0099632B">
              <w:rPr>
                <w:rFonts w:ascii="Arial" w:hAnsi="Arial" w:cs="Arial"/>
              </w:rPr>
              <w:t xml:space="preserve">% points compared to 2018-19 financial year </w:t>
            </w:r>
          </w:p>
        </w:tc>
      </w:tr>
      <w:tr w:rsidR="003161EA" w:rsidRPr="0099632B" w14:paraId="3C911997" w14:textId="77777777" w:rsidTr="003161EA">
        <w:tc>
          <w:tcPr>
            <w:tcW w:w="1814" w:type="dxa"/>
            <w:shd w:val="clear" w:color="auto" w:fill="D9D9D9" w:themeFill="background1" w:themeFillShade="D9"/>
          </w:tcPr>
          <w:p w14:paraId="57548B4E" w14:textId="1668EAB2"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color w:val="000000"/>
                <w:sz w:val="20"/>
                <w:szCs w:val="20"/>
              </w:rPr>
              <w:t xml:space="preserve">Indirect GSP </w:t>
            </w:r>
          </w:p>
        </w:tc>
        <w:tc>
          <w:tcPr>
            <w:tcW w:w="4135" w:type="dxa"/>
          </w:tcPr>
          <w:p w14:paraId="48ECCFD9" w14:textId="1CFE6E36"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rPr>
              <w:t>Increased 0.</w:t>
            </w:r>
            <w:r w:rsidR="002150DE" w:rsidRPr="0099632B">
              <w:rPr>
                <w:rFonts w:ascii="Arial" w:hAnsi="Arial" w:cs="Arial"/>
              </w:rPr>
              <w:t>2</w:t>
            </w:r>
            <w:r w:rsidRPr="0099632B">
              <w:rPr>
                <w:rFonts w:ascii="Arial" w:hAnsi="Arial" w:cs="Arial"/>
              </w:rPr>
              <w:t xml:space="preserve">% points compared to 2022-23 financial year </w:t>
            </w:r>
          </w:p>
        </w:tc>
        <w:tc>
          <w:tcPr>
            <w:tcW w:w="3685" w:type="dxa"/>
          </w:tcPr>
          <w:p w14:paraId="3FEE85D5" w14:textId="666BA01F"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rPr>
              <w:t>Decreased 0.</w:t>
            </w:r>
            <w:r w:rsidR="002150DE" w:rsidRPr="0099632B">
              <w:rPr>
                <w:rFonts w:ascii="Arial" w:hAnsi="Arial" w:cs="Arial"/>
              </w:rPr>
              <w:t>2</w:t>
            </w:r>
            <w:r w:rsidRPr="0099632B">
              <w:rPr>
                <w:rFonts w:ascii="Arial" w:hAnsi="Arial" w:cs="Arial"/>
              </w:rPr>
              <w:t xml:space="preserve">% points compared to 2018-19 financial year </w:t>
            </w:r>
          </w:p>
        </w:tc>
      </w:tr>
      <w:tr w:rsidR="003161EA" w:rsidRPr="0099632B" w14:paraId="080869A4" w14:textId="77777777" w:rsidTr="003161EA">
        <w:tc>
          <w:tcPr>
            <w:tcW w:w="1814" w:type="dxa"/>
            <w:shd w:val="clear" w:color="auto" w:fill="D9D9D9" w:themeFill="background1" w:themeFillShade="D9"/>
          </w:tcPr>
          <w:p w14:paraId="258F8E33" w14:textId="16715F7D" w:rsidR="003161EA" w:rsidRPr="0099632B" w:rsidRDefault="003161EA" w:rsidP="00CE63EC">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 xml:space="preserve">Total GSP </w:t>
            </w:r>
          </w:p>
        </w:tc>
        <w:tc>
          <w:tcPr>
            <w:tcW w:w="4135" w:type="dxa"/>
          </w:tcPr>
          <w:p w14:paraId="62F083D1" w14:textId="77DC908D"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2150DE" w:rsidRPr="0099632B">
              <w:rPr>
                <w:rFonts w:ascii="Arial" w:hAnsi="Arial" w:cs="Arial"/>
              </w:rPr>
              <w:t>0.4</w:t>
            </w:r>
            <w:r w:rsidRPr="0099632B">
              <w:rPr>
                <w:rFonts w:ascii="Arial" w:hAnsi="Arial" w:cs="Arial"/>
              </w:rPr>
              <w:t xml:space="preserve">% points compared to 2022-23 financial year </w:t>
            </w:r>
          </w:p>
        </w:tc>
        <w:tc>
          <w:tcPr>
            <w:tcW w:w="3685" w:type="dxa"/>
          </w:tcPr>
          <w:p w14:paraId="3FFDD606" w14:textId="67E0CB9F" w:rsidR="003161EA" w:rsidRPr="0099632B" w:rsidRDefault="003161EA" w:rsidP="00CE63EC">
            <w:pPr>
              <w:rPr>
                <w:rFonts w:ascii="Arial" w:eastAsiaTheme="majorEastAsia" w:hAnsi="Arial" w:cs="Arial"/>
                <w:color w:val="2F5496" w:themeColor="accent1" w:themeShade="BF"/>
                <w:sz w:val="24"/>
                <w:szCs w:val="24"/>
              </w:rPr>
            </w:pPr>
            <w:r w:rsidRPr="0099632B">
              <w:rPr>
                <w:rFonts w:ascii="Arial" w:hAnsi="Arial" w:cs="Arial"/>
              </w:rPr>
              <w:t xml:space="preserve">Decreased </w:t>
            </w:r>
            <w:r w:rsidR="002150DE" w:rsidRPr="0099632B">
              <w:rPr>
                <w:rFonts w:ascii="Arial" w:hAnsi="Arial" w:cs="Arial"/>
              </w:rPr>
              <w:t>0</w:t>
            </w:r>
            <w:r w:rsidRPr="0099632B">
              <w:rPr>
                <w:rFonts w:ascii="Arial" w:hAnsi="Arial" w:cs="Arial"/>
              </w:rPr>
              <w:t xml:space="preserve">.4% points compared to 2018-19 financial year </w:t>
            </w:r>
          </w:p>
        </w:tc>
      </w:tr>
    </w:tbl>
    <w:p w14:paraId="60C910F0" w14:textId="77777777" w:rsidR="002A6E5A" w:rsidRPr="0099632B" w:rsidRDefault="002A6E5A" w:rsidP="001849BC">
      <w:pPr>
        <w:pStyle w:val="NoSpacing"/>
        <w:rPr>
          <w:rFonts w:ascii="Arial" w:eastAsiaTheme="majorEastAsia" w:hAnsi="Arial" w:cs="Arial"/>
          <w:sz w:val="8"/>
          <w:szCs w:val="8"/>
        </w:rPr>
      </w:pPr>
    </w:p>
    <w:p w14:paraId="0D5E63D0" w14:textId="402BB958" w:rsidR="00A21BC7" w:rsidRPr="0099632B" w:rsidRDefault="00A71CCE" w:rsidP="00313271">
      <w:pPr>
        <w:pStyle w:val="Heading2"/>
        <w:spacing w:before="240" w:after="120"/>
        <w:rPr>
          <w:rFonts w:ascii="Arial" w:hAnsi="Arial" w:cs="Arial"/>
          <w:color w:val="002060"/>
        </w:rPr>
      </w:pPr>
      <w:bookmarkStart w:id="65" w:name="_Toc194938480"/>
      <w:r w:rsidRPr="0099632B">
        <w:rPr>
          <w:rFonts w:ascii="Arial" w:hAnsi="Arial" w:cs="Arial"/>
          <w:color w:val="002060"/>
        </w:rPr>
        <w:t xml:space="preserve">9.3 </w:t>
      </w:r>
      <w:r w:rsidR="00A21BC7" w:rsidRPr="0099632B">
        <w:rPr>
          <w:rFonts w:ascii="Arial" w:hAnsi="Arial" w:cs="Arial"/>
          <w:color w:val="002060"/>
        </w:rPr>
        <w:t>Filled jobs</w:t>
      </w:r>
      <w:bookmarkEnd w:id="65"/>
    </w:p>
    <w:p w14:paraId="62A75416" w14:textId="1F830D5A" w:rsidR="00F76D7A" w:rsidRPr="0099632B" w:rsidRDefault="00A71CCE" w:rsidP="00313271">
      <w:pPr>
        <w:pStyle w:val="Heading3"/>
        <w:spacing w:before="240" w:after="120"/>
        <w:rPr>
          <w:rFonts w:ascii="Arial" w:eastAsiaTheme="minorHAnsi" w:hAnsi="Arial" w:cs="Arial"/>
          <w:color w:val="002060"/>
        </w:rPr>
      </w:pPr>
      <w:r w:rsidRPr="0099632B">
        <w:rPr>
          <w:rFonts w:ascii="Arial" w:eastAsiaTheme="minorHAnsi" w:hAnsi="Arial" w:cs="Arial"/>
          <w:color w:val="002060"/>
        </w:rPr>
        <w:t xml:space="preserve">9.3.1 </w:t>
      </w:r>
      <w:r w:rsidR="002A6E5A" w:rsidRPr="0099632B">
        <w:rPr>
          <w:rFonts w:ascii="Arial" w:eastAsiaTheme="minorHAnsi" w:hAnsi="Arial" w:cs="Arial"/>
          <w:color w:val="002060"/>
        </w:rPr>
        <w:t xml:space="preserve">Direct, indirect and total </w:t>
      </w:r>
      <w:r w:rsidR="001D3D65" w:rsidRPr="0099632B">
        <w:rPr>
          <w:rFonts w:ascii="Arial" w:eastAsiaTheme="minorHAnsi" w:hAnsi="Arial" w:cs="Arial"/>
          <w:color w:val="002060"/>
        </w:rPr>
        <w:t>tourism filled jobs</w:t>
      </w:r>
      <w:r w:rsidR="002A6E5A" w:rsidRPr="0099632B">
        <w:rPr>
          <w:rFonts w:ascii="Arial" w:eastAsiaTheme="minorHAnsi" w:hAnsi="Arial" w:cs="Arial"/>
          <w:color w:val="002060"/>
        </w:rPr>
        <w:t xml:space="preserve"> in Victoria </w:t>
      </w:r>
      <w:r w:rsidR="00F76D7A" w:rsidRPr="0099632B">
        <w:rPr>
          <w:rFonts w:ascii="Arial" w:eastAsiaTheme="minorHAnsi" w:hAnsi="Arial" w:cs="Arial"/>
          <w:color w:val="002060"/>
        </w:rPr>
        <w:t xml:space="preserve">in </w:t>
      </w:r>
      <w:r w:rsidR="003A71F6" w:rsidRPr="0099632B">
        <w:rPr>
          <w:rFonts w:ascii="Arial" w:eastAsiaTheme="minorHAnsi" w:hAnsi="Arial" w:cs="Arial"/>
          <w:color w:val="002060"/>
        </w:rPr>
        <w:t>2018-19</w:t>
      </w:r>
      <w:r w:rsidR="0065220D" w:rsidRPr="0099632B">
        <w:rPr>
          <w:rFonts w:ascii="Arial" w:eastAsiaTheme="minorHAnsi" w:hAnsi="Arial" w:cs="Arial"/>
          <w:color w:val="002060"/>
        </w:rPr>
        <w:t xml:space="preserve"> </w:t>
      </w:r>
      <w:r w:rsidR="00F76D7A" w:rsidRPr="0099632B">
        <w:rPr>
          <w:rFonts w:ascii="Arial" w:eastAsiaTheme="minorHAnsi" w:hAnsi="Arial" w:cs="Arial"/>
          <w:color w:val="002060"/>
        </w:rPr>
        <w:t xml:space="preserve">to </w:t>
      </w:r>
      <w:r w:rsidR="00087CA3" w:rsidRPr="0099632B">
        <w:rPr>
          <w:rFonts w:ascii="Arial" w:eastAsiaTheme="minorHAnsi" w:hAnsi="Arial" w:cs="Arial"/>
          <w:color w:val="002060"/>
        </w:rPr>
        <w:t>2023-24</w:t>
      </w:r>
    </w:p>
    <w:tbl>
      <w:tblPr>
        <w:tblStyle w:val="TableGrid"/>
        <w:tblW w:w="0" w:type="auto"/>
        <w:tblLook w:val="04A0" w:firstRow="1" w:lastRow="0" w:firstColumn="1" w:lastColumn="0" w:noHBand="0" w:noVBand="1"/>
      </w:tblPr>
      <w:tblGrid>
        <w:gridCol w:w="2119"/>
        <w:gridCol w:w="1274"/>
        <w:gridCol w:w="1275"/>
        <w:gridCol w:w="1133"/>
        <w:gridCol w:w="1417"/>
        <w:gridCol w:w="1274"/>
        <w:gridCol w:w="1137"/>
      </w:tblGrid>
      <w:tr w:rsidR="008F0908" w:rsidRPr="0099632B" w14:paraId="19AE221C" w14:textId="77777777" w:rsidTr="000710FB">
        <w:trPr>
          <w:tblHeader/>
        </w:trPr>
        <w:tc>
          <w:tcPr>
            <w:tcW w:w="2119" w:type="dxa"/>
            <w:shd w:val="clear" w:color="auto" w:fill="D9D9D9" w:themeFill="background1" w:themeFillShade="D9"/>
          </w:tcPr>
          <w:p w14:paraId="1BD9000F" w14:textId="77777777" w:rsidR="008F0908" w:rsidRPr="0099632B" w:rsidRDefault="008F0908" w:rsidP="008F0908">
            <w:pPr>
              <w:rPr>
                <w:rFonts w:ascii="Arial" w:eastAsiaTheme="majorEastAsia" w:hAnsi="Arial" w:cs="Arial"/>
                <w:b/>
                <w:bCs/>
                <w:color w:val="2F5496" w:themeColor="accent1" w:themeShade="BF"/>
                <w:sz w:val="24"/>
                <w:szCs w:val="24"/>
              </w:rPr>
            </w:pPr>
            <w:bookmarkStart w:id="66" w:name="Title_22" w:colFirst="0" w:colLast="0"/>
          </w:p>
        </w:tc>
        <w:tc>
          <w:tcPr>
            <w:tcW w:w="1274" w:type="dxa"/>
            <w:shd w:val="clear" w:color="auto" w:fill="D9D9D9" w:themeFill="background1" w:themeFillShade="D9"/>
          </w:tcPr>
          <w:p w14:paraId="6EE40368" w14:textId="66606408"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2018-19</w:t>
            </w:r>
          </w:p>
        </w:tc>
        <w:tc>
          <w:tcPr>
            <w:tcW w:w="1275" w:type="dxa"/>
            <w:shd w:val="clear" w:color="auto" w:fill="D9D9D9" w:themeFill="background1" w:themeFillShade="D9"/>
          </w:tcPr>
          <w:p w14:paraId="3C63A352" w14:textId="2CA55007"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2019-20</w:t>
            </w:r>
          </w:p>
        </w:tc>
        <w:tc>
          <w:tcPr>
            <w:tcW w:w="1133" w:type="dxa"/>
            <w:shd w:val="clear" w:color="auto" w:fill="D9D9D9" w:themeFill="background1" w:themeFillShade="D9"/>
          </w:tcPr>
          <w:p w14:paraId="557D420D" w14:textId="4425D8F4"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2020-21</w:t>
            </w:r>
          </w:p>
        </w:tc>
        <w:tc>
          <w:tcPr>
            <w:tcW w:w="1417" w:type="dxa"/>
            <w:shd w:val="clear" w:color="auto" w:fill="D9D9D9" w:themeFill="background1" w:themeFillShade="D9"/>
          </w:tcPr>
          <w:p w14:paraId="415BCE94" w14:textId="6B67E114"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2021-22</w:t>
            </w:r>
          </w:p>
        </w:tc>
        <w:tc>
          <w:tcPr>
            <w:tcW w:w="1274" w:type="dxa"/>
            <w:shd w:val="clear" w:color="auto" w:fill="D9D9D9" w:themeFill="background1" w:themeFillShade="D9"/>
          </w:tcPr>
          <w:p w14:paraId="7A10E625" w14:textId="32083547"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2022-23</w:t>
            </w:r>
          </w:p>
        </w:tc>
        <w:tc>
          <w:tcPr>
            <w:tcW w:w="1137" w:type="dxa"/>
            <w:shd w:val="clear" w:color="auto" w:fill="D9D9D9" w:themeFill="background1" w:themeFillShade="D9"/>
          </w:tcPr>
          <w:p w14:paraId="755A063C" w14:textId="4E336809" w:rsidR="008F0908" w:rsidRPr="0099632B" w:rsidRDefault="008F0908" w:rsidP="008F0908">
            <w:pPr>
              <w:rPr>
                <w:rFonts w:ascii="Arial" w:eastAsiaTheme="majorEastAsia" w:hAnsi="Arial" w:cs="Arial"/>
                <w:color w:val="2F5496" w:themeColor="accent1" w:themeShade="BF"/>
                <w:sz w:val="24"/>
                <w:szCs w:val="24"/>
              </w:rPr>
            </w:pPr>
            <w:r w:rsidRPr="0099632B">
              <w:rPr>
                <w:rFonts w:ascii="Arial" w:hAnsi="Arial" w:cs="Arial"/>
                <w:b/>
              </w:rPr>
              <w:t>2023-24</w:t>
            </w:r>
          </w:p>
        </w:tc>
      </w:tr>
      <w:bookmarkEnd w:id="66"/>
      <w:tr w:rsidR="002150DE" w:rsidRPr="0099632B" w14:paraId="10DDA00A" w14:textId="77777777" w:rsidTr="0035076A">
        <w:tc>
          <w:tcPr>
            <w:tcW w:w="2119" w:type="dxa"/>
            <w:shd w:val="clear" w:color="auto" w:fill="D9D9D9" w:themeFill="background1" w:themeFillShade="D9"/>
            <w:vAlign w:val="bottom"/>
          </w:tcPr>
          <w:p w14:paraId="485F5ED1" w14:textId="590D6806" w:rsidR="002150DE" w:rsidRPr="0099632B" w:rsidRDefault="002150DE" w:rsidP="002150DE">
            <w:pPr>
              <w:rPr>
                <w:rFonts w:ascii="Arial" w:hAnsi="Arial" w:cs="Arial"/>
                <w:color w:val="000000"/>
                <w:sz w:val="20"/>
                <w:szCs w:val="20"/>
              </w:rPr>
            </w:pPr>
            <w:r w:rsidRPr="0099632B">
              <w:rPr>
                <w:rFonts w:ascii="Arial" w:hAnsi="Arial" w:cs="Arial"/>
                <w:color w:val="000000"/>
                <w:sz w:val="20"/>
                <w:szCs w:val="20"/>
              </w:rPr>
              <w:t xml:space="preserve">Direct Filled Jobs </w:t>
            </w:r>
          </w:p>
        </w:tc>
        <w:tc>
          <w:tcPr>
            <w:tcW w:w="1274" w:type="dxa"/>
          </w:tcPr>
          <w:p w14:paraId="0DC55F2E" w14:textId="50EEB815" w:rsidR="002150DE" w:rsidRPr="0099632B" w:rsidRDefault="002150DE" w:rsidP="002150DE">
            <w:pPr>
              <w:rPr>
                <w:rFonts w:ascii="Arial" w:hAnsi="Arial" w:cs="Arial"/>
                <w:sz w:val="22"/>
                <w:szCs w:val="22"/>
              </w:rPr>
            </w:pPr>
            <w:r w:rsidRPr="0099632B">
              <w:rPr>
                <w:rFonts w:ascii="Arial" w:hAnsi="Arial" w:cs="Arial"/>
              </w:rPr>
              <w:t>171,600</w:t>
            </w:r>
          </w:p>
        </w:tc>
        <w:tc>
          <w:tcPr>
            <w:tcW w:w="1275" w:type="dxa"/>
          </w:tcPr>
          <w:p w14:paraId="67E126B9" w14:textId="60FDA90A" w:rsidR="002150DE" w:rsidRPr="0099632B" w:rsidRDefault="002150DE" w:rsidP="002150DE">
            <w:pPr>
              <w:rPr>
                <w:rFonts w:ascii="Arial" w:hAnsi="Arial" w:cs="Arial"/>
                <w:sz w:val="22"/>
                <w:szCs w:val="22"/>
              </w:rPr>
            </w:pPr>
            <w:r w:rsidRPr="0099632B">
              <w:rPr>
                <w:rFonts w:ascii="Arial" w:hAnsi="Arial" w:cs="Arial"/>
              </w:rPr>
              <w:t>148,200</w:t>
            </w:r>
          </w:p>
        </w:tc>
        <w:tc>
          <w:tcPr>
            <w:tcW w:w="1133" w:type="dxa"/>
          </w:tcPr>
          <w:p w14:paraId="43977E31" w14:textId="181D4FBB" w:rsidR="002150DE" w:rsidRPr="0099632B" w:rsidRDefault="002150DE" w:rsidP="002150DE">
            <w:pPr>
              <w:rPr>
                <w:rFonts w:ascii="Arial" w:hAnsi="Arial" w:cs="Arial"/>
                <w:sz w:val="22"/>
                <w:szCs w:val="22"/>
              </w:rPr>
            </w:pPr>
            <w:r w:rsidRPr="0099632B">
              <w:rPr>
                <w:rFonts w:ascii="Arial" w:hAnsi="Arial" w:cs="Arial"/>
              </w:rPr>
              <w:t>74,500</w:t>
            </w:r>
          </w:p>
        </w:tc>
        <w:tc>
          <w:tcPr>
            <w:tcW w:w="1417" w:type="dxa"/>
          </w:tcPr>
          <w:p w14:paraId="25D108BA" w14:textId="08C7BD68" w:rsidR="002150DE" w:rsidRPr="0099632B" w:rsidRDefault="002150DE" w:rsidP="002150DE">
            <w:pPr>
              <w:rPr>
                <w:rFonts w:ascii="Arial" w:hAnsi="Arial" w:cs="Arial"/>
                <w:sz w:val="22"/>
                <w:szCs w:val="22"/>
              </w:rPr>
            </w:pPr>
            <w:r w:rsidRPr="0099632B">
              <w:rPr>
                <w:rFonts w:ascii="Arial" w:hAnsi="Arial" w:cs="Arial"/>
              </w:rPr>
              <w:t>105,500</w:t>
            </w:r>
          </w:p>
        </w:tc>
        <w:tc>
          <w:tcPr>
            <w:tcW w:w="1274" w:type="dxa"/>
          </w:tcPr>
          <w:p w14:paraId="5F4882C3" w14:textId="03B2751F" w:rsidR="002150DE" w:rsidRPr="0099632B" w:rsidRDefault="002150DE" w:rsidP="002150DE">
            <w:pPr>
              <w:rPr>
                <w:rFonts w:ascii="Arial" w:hAnsi="Arial" w:cs="Arial"/>
                <w:sz w:val="22"/>
                <w:szCs w:val="22"/>
              </w:rPr>
            </w:pPr>
            <w:r w:rsidRPr="0099632B">
              <w:rPr>
                <w:rFonts w:ascii="Arial" w:hAnsi="Arial" w:cs="Arial"/>
              </w:rPr>
              <w:t>171,100</w:t>
            </w:r>
          </w:p>
        </w:tc>
        <w:tc>
          <w:tcPr>
            <w:tcW w:w="1137" w:type="dxa"/>
          </w:tcPr>
          <w:p w14:paraId="7BCD5FB5" w14:textId="74FC853A" w:rsidR="002150DE" w:rsidRPr="0099632B" w:rsidRDefault="002150DE" w:rsidP="002150DE">
            <w:pPr>
              <w:rPr>
                <w:rFonts w:ascii="Arial" w:hAnsi="Arial" w:cs="Arial"/>
                <w:sz w:val="22"/>
                <w:szCs w:val="22"/>
              </w:rPr>
            </w:pPr>
            <w:r w:rsidRPr="0099632B">
              <w:rPr>
                <w:rFonts w:ascii="Arial" w:hAnsi="Arial" w:cs="Arial"/>
              </w:rPr>
              <w:t>183,800</w:t>
            </w:r>
          </w:p>
        </w:tc>
      </w:tr>
      <w:tr w:rsidR="002150DE" w:rsidRPr="0099632B" w14:paraId="26F2F665" w14:textId="77777777" w:rsidTr="0035076A">
        <w:tc>
          <w:tcPr>
            <w:tcW w:w="2119" w:type="dxa"/>
            <w:shd w:val="clear" w:color="auto" w:fill="D9D9D9" w:themeFill="background1" w:themeFillShade="D9"/>
            <w:vAlign w:val="bottom"/>
          </w:tcPr>
          <w:p w14:paraId="215147B9" w14:textId="4E421ADD" w:rsidR="002150DE" w:rsidRPr="0099632B" w:rsidRDefault="002150DE" w:rsidP="002150DE">
            <w:pPr>
              <w:rPr>
                <w:rFonts w:ascii="Arial" w:hAnsi="Arial" w:cs="Arial"/>
                <w:color w:val="000000"/>
                <w:sz w:val="20"/>
                <w:szCs w:val="20"/>
              </w:rPr>
            </w:pPr>
            <w:r w:rsidRPr="0099632B">
              <w:rPr>
                <w:rFonts w:ascii="Arial" w:hAnsi="Arial" w:cs="Arial"/>
                <w:color w:val="000000"/>
                <w:sz w:val="20"/>
                <w:szCs w:val="20"/>
              </w:rPr>
              <w:t xml:space="preserve">Indirect Filled Jobs </w:t>
            </w:r>
          </w:p>
        </w:tc>
        <w:tc>
          <w:tcPr>
            <w:tcW w:w="1274" w:type="dxa"/>
          </w:tcPr>
          <w:p w14:paraId="46393E80" w14:textId="2CFC1174" w:rsidR="002150DE" w:rsidRPr="0099632B" w:rsidRDefault="002150DE" w:rsidP="002150DE">
            <w:pPr>
              <w:rPr>
                <w:rFonts w:ascii="Arial" w:hAnsi="Arial" w:cs="Arial"/>
                <w:sz w:val="22"/>
                <w:szCs w:val="22"/>
              </w:rPr>
            </w:pPr>
            <w:r w:rsidRPr="0099632B">
              <w:rPr>
                <w:rFonts w:ascii="Arial" w:hAnsi="Arial" w:cs="Arial"/>
              </w:rPr>
              <w:t>89,900</w:t>
            </w:r>
          </w:p>
        </w:tc>
        <w:tc>
          <w:tcPr>
            <w:tcW w:w="1275" w:type="dxa"/>
          </w:tcPr>
          <w:p w14:paraId="1D1F9A7B" w14:textId="0BA853E2" w:rsidR="002150DE" w:rsidRPr="0099632B" w:rsidRDefault="002150DE" w:rsidP="002150DE">
            <w:pPr>
              <w:rPr>
                <w:rFonts w:ascii="Arial" w:hAnsi="Arial" w:cs="Arial"/>
                <w:sz w:val="22"/>
                <w:szCs w:val="22"/>
              </w:rPr>
            </w:pPr>
            <w:r w:rsidRPr="0099632B">
              <w:rPr>
                <w:rFonts w:ascii="Arial" w:hAnsi="Arial" w:cs="Arial"/>
              </w:rPr>
              <w:t>72,000</w:t>
            </w:r>
          </w:p>
        </w:tc>
        <w:tc>
          <w:tcPr>
            <w:tcW w:w="1133" w:type="dxa"/>
          </w:tcPr>
          <w:p w14:paraId="60761C53" w14:textId="40FD952B" w:rsidR="002150DE" w:rsidRPr="0099632B" w:rsidRDefault="002150DE" w:rsidP="002150DE">
            <w:pPr>
              <w:rPr>
                <w:rFonts w:ascii="Arial" w:hAnsi="Arial" w:cs="Arial"/>
                <w:sz w:val="22"/>
                <w:szCs w:val="22"/>
              </w:rPr>
            </w:pPr>
            <w:r w:rsidRPr="0099632B">
              <w:rPr>
                <w:rFonts w:ascii="Arial" w:hAnsi="Arial" w:cs="Arial"/>
              </w:rPr>
              <w:t>34,600</w:t>
            </w:r>
          </w:p>
        </w:tc>
        <w:tc>
          <w:tcPr>
            <w:tcW w:w="1417" w:type="dxa"/>
          </w:tcPr>
          <w:p w14:paraId="2E298C79" w14:textId="349D7C3A" w:rsidR="002150DE" w:rsidRPr="0099632B" w:rsidRDefault="002150DE" w:rsidP="002150DE">
            <w:pPr>
              <w:rPr>
                <w:rFonts w:ascii="Arial" w:hAnsi="Arial" w:cs="Arial"/>
                <w:sz w:val="22"/>
                <w:szCs w:val="22"/>
              </w:rPr>
            </w:pPr>
            <w:r w:rsidRPr="0099632B">
              <w:rPr>
                <w:rFonts w:ascii="Arial" w:hAnsi="Arial" w:cs="Arial"/>
              </w:rPr>
              <w:t>51,300</w:t>
            </w:r>
          </w:p>
        </w:tc>
        <w:tc>
          <w:tcPr>
            <w:tcW w:w="1274" w:type="dxa"/>
          </w:tcPr>
          <w:p w14:paraId="0AFEBC27" w14:textId="38B4C83A" w:rsidR="002150DE" w:rsidRPr="0099632B" w:rsidRDefault="002150DE" w:rsidP="002150DE">
            <w:pPr>
              <w:rPr>
                <w:rFonts w:ascii="Arial" w:hAnsi="Arial" w:cs="Arial"/>
                <w:sz w:val="22"/>
                <w:szCs w:val="22"/>
              </w:rPr>
            </w:pPr>
            <w:r w:rsidRPr="0099632B">
              <w:rPr>
                <w:rFonts w:ascii="Arial" w:hAnsi="Arial" w:cs="Arial"/>
              </w:rPr>
              <w:t>95,300</w:t>
            </w:r>
          </w:p>
        </w:tc>
        <w:tc>
          <w:tcPr>
            <w:tcW w:w="1137" w:type="dxa"/>
          </w:tcPr>
          <w:p w14:paraId="6984CE80" w14:textId="5ACCFE2B" w:rsidR="002150DE" w:rsidRPr="0099632B" w:rsidRDefault="002150DE" w:rsidP="002150DE">
            <w:pPr>
              <w:rPr>
                <w:rFonts w:ascii="Arial" w:hAnsi="Arial" w:cs="Arial"/>
                <w:sz w:val="22"/>
                <w:szCs w:val="22"/>
              </w:rPr>
            </w:pPr>
            <w:r w:rsidRPr="0099632B">
              <w:rPr>
                <w:rFonts w:ascii="Arial" w:hAnsi="Arial" w:cs="Arial"/>
              </w:rPr>
              <w:t>105,000</w:t>
            </w:r>
          </w:p>
        </w:tc>
      </w:tr>
      <w:tr w:rsidR="002150DE" w:rsidRPr="0099632B" w14:paraId="3A1D2651" w14:textId="77777777" w:rsidTr="0035076A">
        <w:tc>
          <w:tcPr>
            <w:tcW w:w="2119" w:type="dxa"/>
            <w:shd w:val="clear" w:color="auto" w:fill="D9D9D9" w:themeFill="background1" w:themeFillShade="D9"/>
            <w:vAlign w:val="bottom"/>
          </w:tcPr>
          <w:p w14:paraId="51E337C3" w14:textId="725CA2EA" w:rsidR="002150DE" w:rsidRPr="0099632B" w:rsidRDefault="002150DE" w:rsidP="002150DE">
            <w:pPr>
              <w:rPr>
                <w:rFonts w:ascii="Arial" w:hAnsi="Arial" w:cs="Arial"/>
                <w:b/>
                <w:bCs/>
                <w:color w:val="000000"/>
                <w:sz w:val="20"/>
                <w:szCs w:val="20"/>
              </w:rPr>
            </w:pPr>
            <w:r w:rsidRPr="0099632B">
              <w:rPr>
                <w:rFonts w:ascii="Arial" w:hAnsi="Arial" w:cs="Arial"/>
                <w:b/>
                <w:bCs/>
                <w:color w:val="000000"/>
                <w:sz w:val="20"/>
                <w:szCs w:val="20"/>
              </w:rPr>
              <w:t xml:space="preserve">Total Filled Jobs </w:t>
            </w:r>
          </w:p>
        </w:tc>
        <w:tc>
          <w:tcPr>
            <w:tcW w:w="1274" w:type="dxa"/>
          </w:tcPr>
          <w:p w14:paraId="14DF2117" w14:textId="7400FEEC" w:rsidR="002150DE" w:rsidRPr="0099632B" w:rsidRDefault="002150DE" w:rsidP="002150DE">
            <w:pPr>
              <w:rPr>
                <w:rFonts w:ascii="Arial" w:hAnsi="Arial" w:cs="Arial"/>
                <w:b/>
                <w:bCs/>
                <w:sz w:val="22"/>
                <w:szCs w:val="22"/>
              </w:rPr>
            </w:pPr>
            <w:r w:rsidRPr="0099632B">
              <w:rPr>
                <w:rFonts w:ascii="Arial" w:hAnsi="Arial" w:cs="Arial"/>
              </w:rPr>
              <w:t>261,500</w:t>
            </w:r>
          </w:p>
        </w:tc>
        <w:tc>
          <w:tcPr>
            <w:tcW w:w="1275" w:type="dxa"/>
          </w:tcPr>
          <w:p w14:paraId="4F051C63" w14:textId="7B00A9F7" w:rsidR="002150DE" w:rsidRPr="0099632B" w:rsidRDefault="002150DE" w:rsidP="002150DE">
            <w:pPr>
              <w:rPr>
                <w:rFonts w:ascii="Arial" w:hAnsi="Arial" w:cs="Arial"/>
                <w:b/>
                <w:bCs/>
                <w:sz w:val="22"/>
                <w:szCs w:val="22"/>
              </w:rPr>
            </w:pPr>
            <w:r w:rsidRPr="0099632B">
              <w:rPr>
                <w:rFonts w:ascii="Arial" w:hAnsi="Arial" w:cs="Arial"/>
              </w:rPr>
              <w:t>220,100</w:t>
            </w:r>
          </w:p>
        </w:tc>
        <w:tc>
          <w:tcPr>
            <w:tcW w:w="1133" w:type="dxa"/>
          </w:tcPr>
          <w:p w14:paraId="121EE22D" w14:textId="0DECA39C" w:rsidR="002150DE" w:rsidRPr="0099632B" w:rsidRDefault="002150DE" w:rsidP="002150DE">
            <w:pPr>
              <w:rPr>
                <w:rFonts w:ascii="Arial" w:hAnsi="Arial" w:cs="Arial"/>
                <w:b/>
                <w:bCs/>
                <w:sz w:val="22"/>
                <w:szCs w:val="22"/>
              </w:rPr>
            </w:pPr>
            <w:r w:rsidRPr="0099632B">
              <w:rPr>
                <w:rFonts w:ascii="Arial" w:hAnsi="Arial" w:cs="Arial"/>
              </w:rPr>
              <w:t>109,100</w:t>
            </w:r>
          </w:p>
        </w:tc>
        <w:tc>
          <w:tcPr>
            <w:tcW w:w="1417" w:type="dxa"/>
          </w:tcPr>
          <w:p w14:paraId="45D79484" w14:textId="12C45CEB" w:rsidR="002150DE" w:rsidRPr="0099632B" w:rsidRDefault="002150DE" w:rsidP="002150DE">
            <w:pPr>
              <w:rPr>
                <w:rFonts w:ascii="Arial" w:hAnsi="Arial" w:cs="Arial"/>
                <w:b/>
                <w:bCs/>
                <w:sz w:val="22"/>
                <w:szCs w:val="22"/>
              </w:rPr>
            </w:pPr>
            <w:r w:rsidRPr="0099632B">
              <w:rPr>
                <w:rFonts w:ascii="Arial" w:hAnsi="Arial" w:cs="Arial"/>
              </w:rPr>
              <w:t>156,800</w:t>
            </w:r>
          </w:p>
        </w:tc>
        <w:tc>
          <w:tcPr>
            <w:tcW w:w="1274" w:type="dxa"/>
          </w:tcPr>
          <w:p w14:paraId="7A696052" w14:textId="7288DC0F" w:rsidR="002150DE" w:rsidRPr="0099632B" w:rsidRDefault="002150DE" w:rsidP="002150DE">
            <w:pPr>
              <w:rPr>
                <w:rFonts w:ascii="Arial" w:hAnsi="Arial" w:cs="Arial"/>
                <w:b/>
                <w:bCs/>
                <w:sz w:val="22"/>
                <w:szCs w:val="22"/>
              </w:rPr>
            </w:pPr>
            <w:r w:rsidRPr="0099632B">
              <w:rPr>
                <w:rFonts w:ascii="Arial" w:hAnsi="Arial" w:cs="Arial"/>
              </w:rPr>
              <w:t>266,500</w:t>
            </w:r>
          </w:p>
        </w:tc>
        <w:tc>
          <w:tcPr>
            <w:tcW w:w="1137" w:type="dxa"/>
          </w:tcPr>
          <w:p w14:paraId="37A117DC" w14:textId="4D1BAC50" w:rsidR="002150DE" w:rsidRPr="0099632B" w:rsidRDefault="002150DE" w:rsidP="002150DE">
            <w:pPr>
              <w:rPr>
                <w:rFonts w:ascii="Arial" w:hAnsi="Arial" w:cs="Arial"/>
                <w:b/>
                <w:bCs/>
                <w:sz w:val="22"/>
                <w:szCs w:val="22"/>
              </w:rPr>
            </w:pPr>
            <w:r w:rsidRPr="0099632B">
              <w:rPr>
                <w:rFonts w:ascii="Arial" w:hAnsi="Arial" w:cs="Arial"/>
              </w:rPr>
              <w:t>288,800</w:t>
            </w:r>
          </w:p>
        </w:tc>
      </w:tr>
    </w:tbl>
    <w:p w14:paraId="289798ED" w14:textId="0A7EAC2F" w:rsidR="00736E3D" w:rsidRPr="0099632B" w:rsidRDefault="00C43065" w:rsidP="00313271">
      <w:pPr>
        <w:pStyle w:val="Heading3"/>
        <w:spacing w:after="120"/>
        <w:rPr>
          <w:rFonts w:ascii="Arial" w:eastAsiaTheme="minorHAnsi" w:hAnsi="Arial" w:cs="Arial"/>
          <w:color w:val="002060"/>
        </w:rPr>
      </w:pPr>
      <w:r w:rsidRPr="0099632B">
        <w:rPr>
          <w:rFonts w:ascii="Arial" w:eastAsiaTheme="minorHAnsi" w:hAnsi="Arial" w:cs="Arial"/>
          <w:color w:val="002060"/>
        </w:rPr>
        <w:t xml:space="preserve">9.3.2 </w:t>
      </w:r>
      <w:r w:rsidR="00736E3D" w:rsidRPr="0099632B">
        <w:rPr>
          <w:rFonts w:ascii="Arial" w:eastAsiaTheme="minorHAnsi" w:hAnsi="Arial" w:cs="Arial"/>
          <w:color w:val="002060"/>
        </w:rPr>
        <w:t xml:space="preserve">Direct, indirect and total tourism filled jobs in Victoria by </w:t>
      </w:r>
      <w:r w:rsidR="004023CA" w:rsidRPr="0099632B">
        <w:rPr>
          <w:rFonts w:ascii="Arial" w:eastAsiaTheme="minorHAnsi" w:hAnsi="Arial" w:cs="Arial"/>
          <w:color w:val="002060"/>
        </w:rPr>
        <w:t xml:space="preserve">percentage </w:t>
      </w:r>
      <w:r w:rsidR="00736E3D" w:rsidRPr="0099632B">
        <w:rPr>
          <w:rFonts w:ascii="Arial" w:eastAsiaTheme="minorHAnsi" w:hAnsi="Arial" w:cs="Arial"/>
          <w:color w:val="002060"/>
        </w:rPr>
        <w:t xml:space="preserve">contribution to the economy </w:t>
      </w:r>
      <w:r w:rsidR="009139C2" w:rsidRPr="0099632B">
        <w:rPr>
          <w:rFonts w:ascii="Arial" w:eastAsiaTheme="minorHAnsi" w:hAnsi="Arial" w:cs="Arial"/>
          <w:color w:val="002060"/>
        </w:rPr>
        <w:t xml:space="preserve">in </w:t>
      </w:r>
      <w:r w:rsidR="003A71F6" w:rsidRPr="0099632B">
        <w:rPr>
          <w:rFonts w:ascii="Arial" w:eastAsiaTheme="minorHAnsi" w:hAnsi="Arial" w:cs="Arial"/>
          <w:color w:val="002060"/>
        </w:rPr>
        <w:t>2018-19</w:t>
      </w:r>
      <w:r w:rsidR="00E00F94" w:rsidRPr="0099632B">
        <w:rPr>
          <w:rFonts w:ascii="Arial" w:eastAsiaTheme="minorHAnsi" w:hAnsi="Arial" w:cs="Arial"/>
          <w:color w:val="002060"/>
        </w:rPr>
        <w:t xml:space="preserve"> </w:t>
      </w:r>
      <w:r w:rsidR="009139C2" w:rsidRPr="0099632B">
        <w:rPr>
          <w:rFonts w:ascii="Arial" w:eastAsiaTheme="minorHAnsi" w:hAnsi="Arial" w:cs="Arial"/>
          <w:color w:val="002060"/>
        </w:rPr>
        <w:t xml:space="preserve">to </w:t>
      </w:r>
      <w:r w:rsidR="00087CA3" w:rsidRPr="0099632B">
        <w:rPr>
          <w:rFonts w:ascii="Arial" w:eastAsiaTheme="minorHAnsi" w:hAnsi="Arial" w:cs="Arial"/>
          <w:color w:val="002060"/>
        </w:rPr>
        <w:t>2023-24</w:t>
      </w:r>
    </w:p>
    <w:tbl>
      <w:tblPr>
        <w:tblStyle w:val="TableGrid"/>
        <w:tblW w:w="9776" w:type="dxa"/>
        <w:tblLook w:val="04A0" w:firstRow="1" w:lastRow="0" w:firstColumn="1" w:lastColumn="0" w:noHBand="0" w:noVBand="1"/>
      </w:tblPr>
      <w:tblGrid>
        <w:gridCol w:w="2119"/>
        <w:gridCol w:w="1274"/>
        <w:gridCol w:w="1275"/>
        <w:gridCol w:w="1281"/>
        <w:gridCol w:w="1269"/>
        <w:gridCol w:w="1274"/>
        <w:gridCol w:w="1284"/>
      </w:tblGrid>
      <w:tr w:rsidR="008F0908" w:rsidRPr="0099632B" w14:paraId="2BF345D8" w14:textId="77777777" w:rsidTr="001E77E2">
        <w:trPr>
          <w:tblHeader/>
        </w:trPr>
        <w:tc>
          <w:tcPr>
            <w:tcW w:w="2119" w:type="dxa"/>
            <w:shd w:val="clear" w:color="auto" w:fill="D9D9D9" w:themeFill="background1" w:themeFillShade="D9"/>
            <w:vAlign w:val="bottom"/>
          </w:tcPr>
          <w:p w14:paraId="5D80AFD5" w14:textId="77777777" w:rsidR="008F0908" w:rsidRPr="0099632B" w:rsidRDefault="008F0908" w:rsidP="008F0908">
            <w:pPr>
              <w:rPr>
                <w:rFonts w:ascii="Arial" w:hAnsi="Arial" w:cs="Arial"/>
                <w:color w:val="000000"/>
                <w:sz w:val="20"/>
                <w:szCs w:val="20"/>
              </w:rPr>
            </w:pPr>
            <w:bookmarkStart w:id="67" w:name="Title_23" w:colFirst="0" w:colLast="0"/>
          </w:p>
        </w:tc>
        <w:tc>
          <w:tcPr>
            <w:tcW w:w="1274" w:type="dxa"/>
            <w:shd w:val="clear" w:color="auto" w:fill="D9D9D9" w:themeFill="background1" w:themeFillShade="D9"/>
          </w:tcPr>
          <w:p w14:paraId="2CE667CE" w14:textId="7EE5C8EA" w:rsidR="008F0908" w:rsidRPr="0099632B" w:rsidRDefault="008F0908" w:rsidP="008F0908">
            <w:pPr>
              <w:rPr>
                <w:rFonts w:ascii="Arial" w:hAnsi="Arial" w:cs="Arial"/>
                <w:sz w:val="22"/>
                <w:szCs w:val="22"/>
              </w:rPr>
            </w:pPr>
            <w:r w:rsidRPr="0099632B">
              <w:rPr>
                <w:rFonts w:ascii="Arial" w:hAnsi="Arial" w:cs="Arial"/>
                <w:b/>
              </w:rPr>
              <w:t>2018-19</w:t>
            </w:r>
          </w:p>
        </w:tc>
        <w:tc>
          <w:tcPr>
            <w:tcW w:w="1275" w:type="dxa"/>
            <w:shd w:val="clear" w:color="auto" w:fill="D9D9D9" w:themeFill="background1" w:themeFillShade="D9"/>
          </w:tcPr>
          <w:p w14:paraId="1E29131E" w14:textId="1A8DFC1D" w:rsidR="008F0908" w:rsidRPr="0099632B" w:rsidRDefault="008F0908" w:rsidP="008F0908">
            <w:pPr>
              <w:rPr>
                <w:rFonts w:ascii="Arial" w:hAnsi="Arial" w:cs="Arial"/>
                <w:sz w:val="22"/>
                <w:szCs w:val="22"/>
              </w:rPr>
            </w:pPr>
            <w:r w:rsidRPr="0099632B">
              <w:rPr>
                <w:rFonts w:ascii="Arial" w:hAnsi="Arial" w:cs="Arial"/>
                <w:b/>
              </w:rPr>
              <w:t>2019-20</w:t>
            </w:r>
          </w:p>
        </w:tc>
        <w:tc>
          <w:tcPr>
            <w:tcW w:w="1281" w:type="dxa"/>
            <w:shd w:val="clear" w:color="auto" w:fill="D9D9D9" w:themeFill="background1" w:themeFillShade="D9"/>
          </w:tcPr>
          <w:p w14:paraId="28CF321A" w14:textId="27D864E9" w:rsidR="008F0908" w:rsidRPr="0099632B" w:rsidRDefault="008F0908" w:rsidP="008F0908">
            <w:pPr>
              <w:rPr>
                <w:rFonts w:ascii="Arial" w:hAnsi="Arial" w:cs="Arial"/>
                <w:sz w:val="22"/>
                <w:szCs w:val="22"/>
              </w:rPr>
            </w:pPr>
            <w:r w:rsidRPr="0099632B">
              <w:rPr>
                <w:rFonts w:ascii="Arial" w:hAnsi="Arial" w:cs="Arial"/>
                <w:b/>
              </w:rPr>
              <w:t>2020-21</w:t>
            </w:r>
          </w:p>
        </w:tc>
        <w:tc>
          <w:tcPr>
            <w:tcW w:w="1269" w:type="dxa"/>
            <w:shd w:val="clear" w:color="auto" w:fill="D9D9D9" w:themeFill="background1" w:themeFillShade="D9"/>
          </w:tcPr>
          <w:p w14:paraId="2FC1DEDF" w14:textId="37E4CEE3" w:rsidR="008F0908" w:rsidRPr="0099632B" w:rsidRDefault="008F0908" w:rsidP="008F0908">
            <w:pPr>
              <w:rPr>
                <w:rFonts w:ascii="Arial" w:hAnsi="Arial" w:cs="Arial"/>
                <w:sz w:val="22"/>
                <w:szCs w:val="22"/>
              </w:rPr>
            </w:pPr>
            <w:r w:rsidRPr="0099632B">
              <w:rPr>
                <w:rFonts w:ascii="Arial" w:hAnsi="Arial" w:cs="Arial"/>
                <w:b/>
              </w:rPr>
              <w:t>2021-22</w:t>
            </w:r>
          </w:p>
        </w:tc>
        <w:tc>
          <w:tcPr>
            <w:tcW w:w="1274" w:type="dxa"/>
            <w:shd w:val="clear" w:color="auto" w:fill="D9D9D9" w:themeFill="background1" w:themeFillShade="D9"/>
          </w:tcPr>
          <w:p w14:paraId="3B8FD92B" w14:textId="6D736CAC" w:rsidR="008F0908" w:rsidRPr="0099632B" w:rsidRDefault="008F0908" w:rsidP="008F0908">
            <w:pPr>
              <w:rPr>
                <w:rFonts w:ascii="Arial" w:hAnsi="Arial" w:cs="Arial"/>
                <w:sz w:val="22"/>
                <w:szCs w:val="22"/>
              </w:rPr>
            </w:pPr>
            <w:r w:rsidRPr="0099632B">
              <w:rPr>
                <w:rFonts w:ascii="Arial" w:hAnsi="Arial" w:cs="Arial"/>
                <w:b/>
              </w:rPr>
              <w:t>2022-23</w:t>
            </w:r>
          </w:p>
        </w:tc>
        <w:tc>
          <w:tcPr>
            <w:tcW w:w="1284" w:type="dxa"/>
            <w:shd w:val="clear" w:color="auto" w:fill="D9D9D9" w:themeFill="background1" w:themeFillShade="D9"/>
          </w:tcPr>
          <w:p w14:paraId="188B1D64" w14:textId="749B04A5" w:rsidR="008F0908" w:rsidRPr="0099632B" w:rsidRDefault="008F0908" w:rsidP="008F0908">
            <w:pPr>
              <w:rPr>
                <w:rFonts w:ascii="Arial" w:hAnsi="Arial" w:cs="Arial"/>
                <w:sz w:val="22"/>
                <w:szCs w:val="22"/>
              </w:rPr>
            </w:pPr>
            <w:r w:rsidRPr="0099632B">
              <w:rPr>
                <w:rFonts w:ascii="Arial" w:hAnsi="Arial" w:cs="Arial"/>
                <w:b/>
              </w:rPr>
              <w:t>2023-24</w:t>
            </w:r>
          </w:p>
        </w:tc>
      </w:tr>
      <w:bookmarkEnd w:id="67"/>
      <w:tr w:rsidR="008015B5" w:rsidRPr="0099632B" w14:paraId="15BE4073" w14:textId="77777777" w:rsidTr="001E77E2">
        <w:tc>
          <w:tcPr>
            <w:tcW w:w="2119" w:type="dxa"/>
            <w:shd w:val="clear" w:color="auto" w:fill="D9D9D9" w:themeFill="background1" w:themeFillShade="D9"/>
            <w:vAlign w:val="bottom"/>
          </w:tcPr>
          <w:p w14:paraId="0B53D1A3" w14:textId="50A24303" w:rsidR="008015B5" w:rsidRPr="0099632B" w:rsidRDefault="008015B5" w:rsidP="008015B5">
            <w:pPr>
              <w:rPr>
                <w:rFonts w:ascii="Arial" w:hAnsi="Arial" w:cs="Arial"/>
                <w:color w:val="000000"/>
                <w:sz w:val="20"/>
                <w:szCs w:val="20"/>
              </w:rPr>
            </w:pPr>
            <w:r w:rsidRPr="0099632B">
              <w:rPr>
                <w:rFonts w:ascii="Arial" w:hAnsi="Arial" w:cs="Arial"/>
                <w:color w:val="000000"/>
                <w:sz w:val="20"/>
                <w:szCs w:val="20"/>
              </w:rPr>
              <w:t>Direct Filled Jobs (%)</w:t>
            </w:r>
          </w:p>
        </w:tc>
        <w:tc>
          <w:tcPr>
            <w:tcW w:w="1274" w:type="dxa"/>
          </w:tcPr>
          <w:p w14:paraId="299E1662" w14:textId="3F813BE0" w:rsidR="008015B5" w:rsidRPr="0099632B" w:rsidRDefault="008015B5" w:rsidP="008015B5">
            <w:pPr>
              <w:rPr>
                <w:rFonts w:ascii="Arial" w:hAnsi="Arial" w:cs="Arial"/>
                <w:sz w:val="22"/>
                <w:szCs w:val="22"/>
              </w:rPr>
            </w:pPr>
            <w:r w:rsidRPr="0099632B">
              <w:rPr>
                <w:rFonts w:ascii="Arial" w:hAnsi="Arial" w:cs="Arial"/>
              </w:rPr>
              <w:t>4.9%</w:t>
            </w:r>
          </w:p>
        </w:tc>
        <w:tc>
          <w:tcPr>
            <w:tcW w:w="1275" w:type="dxa"/>
          </w:tcPr>
          <w:p w14:paraId="30CD81F9" w14:textId="2A9AAD7B" w:rsidR="008015B5" w:rsidRPr="0099632B" w:rsidRDefault="008015B5" w:rsidP="008015B5">
            <w:pPr>
              <w:rPr>
                <w:rFonts w:ascii="Arial" w:hAnsi="Arial" w:cs="Arial"/>
                <w:sz w:val="22"/>
                <w:szCs w:val="22"/>
              </w:rPr>
            </w:pPr>
            <w:r w:rsidRPr="0099632B">
              <w:rPr>
                <w:rFonts w:ascii="Arial" w:hAnsi="Arial" w:cs="Arial"/>
              </w:rPr>
              <w:t>4.1%</w:t>
            </w:r>
          </w:p>
        </w:tc>
        <w:tc>
          <w:tcPr>
            <w:tcW w:w="1281" w:type="dxa"/>
          </w:tcPr>
          <w:p w14:paraId="56FFF52A" w14:textId="4DEC564E" w:rsidR="008015B5" w:rsidRPr="0099632B" w:rsidRDefault="008015B5" w:rsidP="008015B5">
            <w:pPr>
              <w:rPr>
                <w:rFonts w:ascii="Arial" w:hAnsi="Arial" w:cs="Arial"/>
                <w:sz w:val="22"/>
                <w:szCs w:val="22"/>
              </w:rPr>
            </w:pPr>
            <w:r w:rsidRPr="0099632B">
              <w:rPr>
                <w:rFonts w:ascii="Arial" w:hAnsi="Arial" w:cs="Arial"/>
              </w:rPr>
              <w:t>2.1%</w:t>
            </w:r>
          </w:p>
        </w:tc>
        <w:tc>
          <w:tcPr>
            <w:tcW w:w="1269" w:type="dxa"/>
          </w:tcPr>
          <w:p w14:paraId="346D1F94" w14:textId="6D532353" w:rsidR="008015B5" w:rsidRPr="0099632B" w:rsidRDefault="008015B5" w:rsidP="008015B5">
            <w:pPr>
              <w:rPr>
                <w:rFonts w:ascii="Arial" w:hAnsi="Arial" w:cs="Arial"/>
                <w:sz w:val="22"/>
                <w:szCs w:val="22"/>
              </w:rPr>
            </w:pPr>
            <w:r w:rsidRPr="0099632B">
              <w:rPr>
                <w:rFonts w:ascii="Arial" w:hAnsi="Arial" w:cs="Arial"/>
              </w:rPr>
              <w:t>2.8%</w:t>
            </w:r>
          </w:p>
        </w:tc>
        <w:tc>
          <w:tcPr>
            <w:tcW w:w="1274" w:type="dxa"/>
          </w:tcPr>
          <w:p w14:paraId="59614A01" w14:textId="0CF62CBE" w:rsidR="008015B5" w:rsidRPr="0099632B" w:rsidRDefault="008015B5" w:rsidP="008015B5">
            <w:pPr>
              <w:rPr>
                <w:rFonts w:ascii="Arial" w:hAnsi="Arial" w:cs="Arial"/>
                <w:sz w:val="22"/>
                <w:szCs w:val="22"/>
              </w:rPr>
            </w:pPr>
            <w:r w:rsidRPr="0099632B">
              <w:rPr>
                <w:rFonts w:ascii="Arial" w:hAnsi="Arial" w:cs="Arial"/>
              </w:rPr>
              <w:t>4.3%</w:t>
            </w:r>
          </w:p>
        </w:tc>
        <w:tc>
          <w:tcPr>
            <w:tcW w:w="1284" w:type="dxa"/>
          </w:tcPr>
          <w:p w14:paraId="0460EF05" w14:textId="54E02DFE" w:rsidR="008015B5" w:rsidRPr="0099632B" w:rsidRDefault="008015B5" w:rsidP="008015B5">
            <w:pPr>
              <w:rPr>
                <w:rFonts w:ascii="Arial" w:hAnsi="Arial" w:cs="Arial"/>
                <w:sz w:val="22"/>
                <w:szCs w:val="22"/>
              </w:rPr>
            </w:pPr>
            <w:r w:rsidRPr="0099632B">
              <w:rPr>
                <w:rFonts w:ascii="Arial" w:hAnsi="Arial" w:cs="Arial"/>
              </w:rPr>
              <w:t>4.5%</w:t>
            </w:r>
          </w:p>
        </w:tc>
      </w:tr>
      <w:tr w:rsidR="008015B5" w:rsidRPr="0099632B" w14:paraId="3ECC1D3C" w14:textId="77777777" w:rsidTr="001E77E2">
        <w:tc>
          <w:tcPr>
            <w:tcW w:w="2119" w:type="dxa"/>
            <w:shd w:val="clear" w:color="auto" w:fill="D9D9D9" w:themeFill="background1" w:themeFillShade="D9"/>
            <w:vAlign w:val="bottom"/>
          </w:tcPr>
          <w:p w14:paraId="3EBB4701" w14:textId="7EC0836D" w:rsidR="008015B5" w:rsidRPr="0099632B" w:rsidRDefault="008015B5" w:rsidP="008015B5">
            <w:pPr>
              <w:rPr>
                <w:rFonts w:ascii="Arial" w:hAnsi="Arial" w:cs="Arial"/>
                <w:color w:val="000000"/>
                <w:sz w:val="20"/>
                <w:szCs w:val="20"/>
              </w:rPr>
            </w:pPr>
            <w:r w:rsidRPr="0099632B">
              <w:rPr>
                <w:rFonts w:ascii="Arial" w:hAnsi="Arial" w:cs="Arial"/>
                <w:color w:val="000000"/>
                <w:sz w:val="20"/>
                <w:szCs w:val="20"/>
              </w:rPr>
              <w:t>Indirect Filled Jobs (%)</w:t>
            </w:r>
          </w:p>
        </w:tc>
        <w:tc>
          <w:tcPr>
            <w:tcW w:w="1274" w:type="dxa"/>
          </w:tcPr>
          <w:p w14:paraId="319FD94A" w14:textId="4282ECFA" w:rsidR="008015B5" w:rsidRPr="0099632B" w:rsidRDefault="008015B5" w:rsidP="008015B5">
            <w:pPr>
              <w:rPr>
                <w:rFonts w:ascii="Arial" w:hAnsi="Arial" w:cs="Arial"/>
                <w:sz w:val="22"/>
                <w:szCs w:val="22"/>
              </w:rPr>
            </w:pPr>
            <w:r w:rsidRPr="0099632B">
              <w:rPr>
                <w:rFonts w:ascii="Arial" w:hAnsi="Arial" w:cs="Arial"/>
              </w:rPr>
              <w:t>2.5%</w:t>
            </w:r>
          </w:p>
        </w:tc>
        <w:tc>
          <w:tcPr>
            <w:tcW w:w="1275" w:type="dxa"/>
          </w:tcPr>
          <w:p w14:paraId="5C5FC33F" w14:textId="67F8B0B6" w:rsidR="008015B5" w:rsidRPr="0099632B" w:rsidRDefault="008015B5" w:rsidP="008015B5">
            <w:pPr>
              <w:rPr>
                <w:rFonts w:ascii="Arial" w:hAnsi="Arial" w:cs="Arial"/>
                <w:sz w:val="22"/>
                <w:szCs w:val="22"/>
              </w:rPr>
            </w:pPr>
            <w:r w:rsidRPr="0099632B">
              <w:rPr>
                <w:rFonts w:ascii="Arial" w:hAnsi="Arial" w:cs="Arial"/>
              </w:rPr>
              <w:t>2.0%</w:t>
            </w:r>
          </w:p>
        </w:tc>
        <w:tc>
          <w:tcPr>
            <w:tcW w:w="1281" w:type="dxa"/>
          </w:tcPr>
          <w:p w14:paraId="60D24025" w14:textId="7F3C9A5D" w:rsidR="008015B5" w:rsidRPr="0099632B" w:rsidRDefault="008015B5" w:rsidP="008015B5">
            <w:pPr>
              <w:rPr>
                <w:rFonts w:ascii="Arial" w:hAnsi="Arial" w:cs="Arial"/>
                <w:sz w:val="22"/>
                <w:szCs w:val="22"/>
              </w:rPr>
            </w:pPr>
            <w:r w:rsidRPr="0099632B">
              <w:rPr>
                <w:rFonts w:ascii="Arial" w:hAnsi="Arial" w:cs="Arial"/>
              </w:rPr>
              <w:t>1.0%</w:t>
            </w:r>
          </w:p>
        </w:tc>
        <w:tc>
          <w:tcPr>
            <w:tcW w:w="1269" w:type="dxa"/>
          </w:tcPr>
          <w:p w14:paraId="7CF3B9BC" w14:textId="7C3E29EE" w:rsidR="008015B5" w:rsidRPr="0099632B" w:rsidRDefault="008015B5" w:rsidP="008015B5">
            <w:pPr>
              <w:rPr>
                <w:rFonts w:ascii="Arial" w:hAnsi="Arial" w:cs="Arial"/>
                <w:sz w:val="22"/>
                <w:szCs w:val="22"/>
              </w:rPr>
            </w:pPr>
            <w:r w:rsidRPr="0099632B">
              <w:rPr>
                <w:rFonts w:ascii="Arial" w:hAnsi="Arial" w:cs="Arial"/>
              </w:rPr>
              <w:t>1.4%</w:t>
            </w:r>
          </w:p>
        </w:tc>
        <w:tc>
          <w:tcPr>
            <w:tcW w:w="1274" w:type="dxa"/>
          </w:tcPr>
          <w:p w14:paraId="2D294986" w14:textId="3B0F7681" w:rsidR="008015B5" w:rsidRPr="0099632B" w:rsidRDefault="008015B5" w:rsidP="008015B5">
            <w:pPr>
              <w:rPr>
                <w:rFonts w:ascii="Arial" w:hAnsi="Arial" w:cs="Arial"/>
                <w:sz w:val="22"/>
                <w:szCs w:val="22"/>
              </w:rPr>
            </w:pPr>
            <w:r w:rsidRPr="0099632B">
              <w:rPr>
                <w:rFonts w:ascii="Arial" w:hAnsi="Arial" w:cs="Arial"/>
              </w:rPr>
              <w:t>2.4%</w:t>
            </w:r>
          </w:p>
        </w:tc>
        <w:tc>
          <w:tcPr>
            <w:tcW w:w="1284" w:type="dxa"/>
          </w:tcPr>
          <w:p w14:paraId="23F666A2" w14:textId="113B9810" w:rsidR="008015B5" w:rsidRPr="0099632B" w:rsidRDefault="008015B5" w:rsidP="008015B5">
            <w:pPr>
              <w:rPr>
                <w:rFonts w:ascii="Arial" w:hAnsi="Arial" w:cs="Arial"/>
                <w:sz w:val="22"/>
                <w:szCs w:val="22"/>
              </w:rPr>
            </w:pPr>
            <w:r w:rsidRPr="0099632B">
              <w:rPr>
                <w:rFonts w:ascii="Arial" w:hAnsi="Arial" w:cs="Arial"/>
              </w:rPr>
              <w:t>2.6%</w:t>
            </w:r>
          </w:p>
        </w:tc>
      </w:tr>
      <w:tr w:rsidR="008015B5" w:rsidRPr="00B82E1F" w14:paraId="31D552EC" w14:textId="77777777" w:rsidTr="001E77E2">
        <w:tc>
          <w:tcPr>
            <w:tcW w:w="2119" w:type="dxa"/>
            <w:shd w:val="clear" w:color="auto" w:fill="D9D9D9" w:themeFill="background1" w:themeFillShade="D9"/>
            <w:vAlign w:val="bottom"/>
          </w:tcPr>
          <w:p w14:paraId="378A4C1B" w14:textId="2F91E5C7" w:rsidR="008015B5" w:rsidRPr="0099632B" w:rsidRDefault="008015B5" w:rsidP="008015B5">
            <w:pPr>
              <w:rPr>
                <w:rFonts w:ascii="Arial" w:hAnsi="Arial" w:cs="Arial"/>
                <w:b/>
                <w:bCs/>
                <w:color w:val="000000"/>
                <w:sz w:val="20"/>
                <w:szCs w:val="20"/>
              </w:rPr>
            </w:pPr>
            <w:r w:rsidRPr="0099632B">
              <w:rPr>
                <w:rFonts w:ascii="Arial" w:hAnsi="Arial" w:cs="Arial"/>
                <w:b/>
                <w:bCs/>
                <w:color w:val="000000"/>
                <w:sz w:val="20"/>
                <w:szCs w:val="20"/>
              </w:rPr>
              <w:t>Total Filled Jobs (%)</w:t>
            </w:r>
          </w:p>
        </w:tc>
        <w:tc>
          <w:tcPr>
            <w:tcW w:w="1274" w:type="dxa"/>
          </w:tcPr>
          <w:p w14:paraId="4F968252" w14:textId="1F5472A4" w:rsidR="008015B5" w:rsidRPr="0099632B" w:rsidRDefault="008015B5" w:rsidP="008015B5">
            <w:pPr>
              <w:rPr>
                <w:rFonts w:ascii="Arial" w:hAnsi="Arial" w:cs="Arial"/>
                <w:b/>
                <w:bCs/>
                <w:sz w:val="22"/>
                <w:szCs w:val="22"/>
              </w:rPr>
            </w:pPr>
            <w:r w:rsidRPr="0099632B">
              <w:rPr>
                <w:rFonts w:ascii="Arial" w:hAnsi="Arial" w:cs="Arial"/>
              </w:rPr>
              <w:t>7.4%</w:t>
            </w:r>
          </w:p>
        </w:tc>
        <w:tc>
          <w:tcPr>
            <w:tcW w:w="1275" w:type="dxa"/>
          </w:tcPr>
          <w:p w14:paraId="5C126DD0" w14:textId="7F8438CA" w:rsidR="008015B5" w:rsidRPr="0099632B" w:rsidRDefault="008015B5" w:rsidP="008015B5">
            <w:pPr>
              <w:rPr>
                <w:rFonts w:ascii="Arial" w:hAnsi="Arial" w:cs="Arial"/>
                <w:b/>
                <w:bCs/>
                <w:sz w:val="22"/>
                <w:szCs w:val="22"/>
              </w:rPr>
            </w:pPr>
            <w:r w:rsidRPr="0099632B">
              <w:rPr>
                <w:rFonts w:ascii="Arial" w:hAnsi="Arial" w:cs="Arial"/>
              </w:rPr>
              <w:t>6.1%</w:t>
            </w:r>
          </w:p>
        </w:tc>
        <w:tc>
          <w:tcPr>
            <w:tcW w:w="1281" w:type="dxa"/>
          </w:tcPr>
          <w:p w14:paraId="4A0B9F3A" w14:textId="69611F53" w:rsidR="008015B5" w:rsidRPr="0099632B" w:rsidRDefault="008015B5" w:rsidP="008015B5">
            <w:pPr>
              <w:rPr>
                <w:rFonts w:ascii="Arial" w:hAnsi="Arial" w:cs="Arial"/>
                <w:b/>
                <w:bCs/>
                <w:sz w:val="22"/>
                <w:szCs w:val="22"/>
              </w:rPr>
            </w:pPr>
            <w:r w:rsidRPr="0099632B">
              <w:rPr>
                <w:rFonts w:ascii="Arial" w:hAnsi="Arial" w:cs="Arial"/>
              </w:rPr>
              <w:t>3.0%</w:t>
            </w:r>
          </w:p>
        </w:tc>
        <w:tc>
          <w:tcPr>
            <w:tcW w:w="1269" w:type="dxa"/>
          </w:tcPr>
          <w:p w14:paraId="3AE845AB" w14:textId="4984799B" w:rsidR="008015B5" w:rsidRPr="0099632B" w:rsidRDefault="008015B5" w:rsidP="008015B5">
            <w:pPr>
              <w:rPr>
                <w:rFonts w:ascii="Arial" w:hAnsi="Arial" w:cs="Arial"/>
                <w:b/>
                <w:bCs/>
                <w:sz w:val="22"/>
                <w:szCs w:val="22"/>
              </w:rPr>
            </w:pPr>
            <w:r w:rsidRPr="0099632B">
              <w:rPr>
                <w:rFonts w:ascii="Arial" w:hAnsi="Arial" w:cs="Arial"/>
              </w:rPr>
              <w:t>4.2%</w:t>
            </w:r>
          </w:p>
        </w:tc>
        <w:tc>
          <w:tcPr>
            <w:tcW w:w="1274" w:type="dxa"/>
          </w:tcPr>
          <w:p w14:paraId="7BC5838A" w14:textId="1E5B758A" w:rsidR="008015B5" w:rsidRPr="0099632B" w:rsidRDefault="008015B5" w:rsidP="008015B5">
            <w:pPr>
              <w:rPr>
                <w:rFonts w:ascii="Arial" w:hAnsi="Arial" w:cs="Arial"/>
                <w:b/>
                <w:bCs/>
                <w:sz w:val="22"/>
                <w:szCs w:val="22"/>
              </w:rPr>
            </w:pPr>
            <w:r w:rsidRPr="0099632B">
              <w:rPr>
                <w:rFonts w:ascii="Arial" w:hAnsi="Arial" w:cs="Arial"/>
              </w:rPr>
              <w:t>6.7%</w:t>
            </w:r>
          </w:p>
        </w:tc>
        <w:tc>
          <w:tcPr>
            <w:tcW w:w="1284" w:type="dxa"/>
          </w:tcPr>
          <w:p w14:paraId="63543DD7" w14:textId="15AE54BD" w:rsidR="008015B5" w:rsidRPr="0099632B" w:rsidRDefault="008015B5" w:rsidP="008015B5">
            <w:pPr>
              <w:rPr>
                <w:rFonts w:ascii="Arial" w:hAnsi="Arial" w:cs="Arial"/>
                <w:b/>
                <w:bCs/>
                <w:sz w:val="22"/>
                <w:szCs w:val="22"/>
              </w:rPr>
            </w:pPr>
            <w:r w:rsidRPr="0099632B">
              <w:rPr>
                <w:rFonts w:ascii="Arial" w:hAnsi="Arial" w:cs="Arial"/>
              </w:rPr>
              <w:t>7.1%</w:t>
            </w:r>
          </w:p>
        </w:tc>
      </w:tr>
    </w:tbl>
    <w:p w14:paraId="28415B93" w14:textId="77777777" w:rsidR="005D3639" w:rsidRPr="00B82E1F" w:rsidRDefault="005D3639" w:rsidP="00BC556B">
      <w:pPr>
        <w:pStyle w:val="NoSpacing"/>
        <w:rPr>
          <w:rFonts w:ascii="Arial" w:eastAsiaTheme="minorHAnsi" w:hAnsi="Arial" w:cs="Arial"/>
        </w:rPr>
      </w:pPr>
    </w:p>
    <w:p w14:paraId="063F592C" w14:textId="28785E28" w:rsidR="002A6E5A" w:rsidRPr="0099632B" w:rsidRDefault="00C43065" w:rsidP="00313271">
      <w:pPr>
        <w:pStyle w:val="Heading3"/>
        <w:spacing w:after="120"/>
        <w:rPr>
          <w:rFonts w:ascii="Arial" w:eastAsiaTheme="minorHAnsi" w:hAnsi="Arial" w:cs="Arial"/>
          <w:color w:val="2F5496" w:themeColor="accent1" w:themeShade="BF"/>
        </w:rPr>
      </w:pPr>
      <w:r w:rsidRPr="00B82E1F">
        <w:rPr>
          <w:rFonts w:ascii="Arial" w:eastAsiaTheme="minorHAnsi" w:hAnsi="Arial" w:cs="Arial"/>
          <w:color w:val="002060"/>
        </w:rPr>
        <w:lastRenderedPageBreak/>
        <w:t>9</w:t>
      </w:r>
      <w:r w:rsidRPr="0099632B">
        <w:rPr>
          <w:rFonts w:ascii="Arial" w:eastAsiaTheme="minorHAnsi" w:hAnsi="Arial" w:cs="Arial"/>
          <w:color w:val="002060"/>
        </w:rPr>
        <w:t xml:space="preserve">.3.3 </w:t>
      </w:r>
      <w:r w:rsidR="00142E69" w:rsidRPr="0099632B">
        <w:rPr>
          <w:rFonts w:ascii="Arial" w:eastAsiaTheme="minorHAnsi" w:hAnsi="Arial" w:cs="Arial"/>
          <w:color w:val="002060"/>
        </w:rPr>
        <w:t>Percentage</w:t>
      </w:r>
      <w:r w:rsidR="002A6E5A" w:rsidRPr="0099632B">
        <w:rPr>
          <w:rFonts w:ascii="Arial" w:eastAsiaTheme="minorHAnsi" w:hAnsi="Arial" w:cs="Arial"/>
          <w:color w:val="002060"/>
        </w:rPr>
        <w:t xml:space="preserve"> change in </w:t>
      </w:r>
      <w:r w:rsidR="00D31433" w:rsidRPr="0099632B">
        <w:rPr>
          <w:rFonts w:ascii="Arial" w:eastAsiaTheme="minorHAnsi" w:hAnsi="Arial" w:cs="Arial"/>
          <w:color w:val="002060"/>
        </w:rPr>
        <w:t xml:space="preserve">the volume of </w:t>
      </w:r>
      <w:r w:rsidR="002A6E5A" w:rsidRPr="0099632B">
        <w:rPr>
          <w:rFonts w:ascii="Arial" w:eastAsiaTheme="minorHAnsi" w:hAnsi="Arial" w:cs="Arial"/>
          <w:color w:val="002060"/>
        </w:rPr>
        <w:t xml:space="preserve">direct, indirect and total </w:t>
      </w:r>
      <w:r w:rsidR="001D3D65" w:rsidRPr="0099632B">
        <w:rPr>
          <w:rFonts w:ascii="Arial" w:eastAsiaTheme="minorHAnsi" w:hAnsi="Arial" w:cs="Arial"/>
          <w:color w:val="002060"/>
        </w:rPr>
        <w:t>tourism filled jobs</w:t>
      </w:r>
      <w:r w:rsidR="002A6E5A" w:rsidRPr="0099632B">
        <w:rPr>
          <w:rFonts w:ascii="Arial" w:eastAsiaTheme="minorHAnsi" w:hAnsi="Arial" w:cs="Arial"/>
          <w:color w:val="002060"/>
        </w:rPr>
        <w:t xml:space="preserve"> in Victoria</w:t>
      </w:r>
      <w:r w:rsidR="002A6E5A" w:rsidRPr="0099632B">
        <w:rPr>
          <w:rFonts w:ascii="Arial" w:eastAsiaTheme="minorHAnsi" w:hAnsi="Arial" w:cs="Arial"/>
          <w:color w:val="2F5496" w:themeColor="accent1" w:themeShade="BF"/>
        </w:rPr>
        <w:t xml:space="preserve"> </w:t>
      </w:r>
      <w:r w:rsidR="004023CA" w:rsidRPr="0099632B">
        <w:rPr>
          <w:rFonts w:ascii="Arial" w:eastAsiaTheme="minorHAnsi" w:hAnsi="Arial" w:cs="Arial"/>
          <w:color w:val="002060"/>
        </w:rPr>
        <w:t>compared to previous financial years</w:t>
      </w:r>
    </w:p>
    <w:tbl>
      <w:tblPr>
        <w:tblStyle w:val="TableGrid"/>
        <w:tblW w:w="9776" w:type="dxa"/>
        <w:tblLayout w:type="fixed"/>
        <w:tblLook w:val="04A0" w:firstRow="1" w:lastRow="0" w:firstColumn="1" w:lastColumn="0" w:noHBand="0" w:noVBand="1"/>
      </w:tblPr>
      <w:tblGrid>
        <w:gridCol w:w="1838"/>
        <w:gridCol w:w="4111"/>
        <w:gridCol w:w="3827"/>
      </w:tblGrid>
      <w:tr w:rsidR="00E72844" w:rsidRPr="0099632B" w14:paraId="10460AAA" w14:textId="77777777" w:rsidTr="009A0727">
        <w:trPr>
          <w:tblHeader/>
        </w:trPr>
        <w:tc>
          <w:tcPr>
            <w:tcW w:w="1838" w:type="dxa"/>
            <w:shd w:val="clear" w:color="auto" w:fill="D9D9D9" w:themeFill="background1" w:themeFillShade="D9"/>
          </w:tcPr>
          <w:p w14:paraId="474CAABA" w14:textId="77777777" w:rsidR="00E72844" w:rsidRPr="0099632B" w:rsidRDefault="00E72844" w:rsidP="00DD724B">
            <w:pPr>
              <w:rPr>
                <w:rFonts w:ascii="Arial" w:eastAsiaTheme="majorEastAsia" w:hAnsi="Arial" w:cs="Arial"/>
                <w:b/>
                <w:bCs/>
                <w:color w:val="2F5496" w:themeColor="accent1" w:themeShade="BF"/>
                <w:sz w:val="24"/>
                <w:szCs w:val="24"/>
              </w:rPr>
            </w:pPr>
            <w:bookmarkStart w:id="68" w:name="Title_24" w:colFirst="0" w:colLast="0"/>
          </w:p>
        </w:tc>
        <w:tc>
          <w:tcPr>
            <w:tcW w:w="4111" w:type="dxa"/>
            <w:shd w:val="clear" w:color="auto" w:fill="D9D9D9" w:themeFill="background1" w:themeFillShade="D9"/>
          </w:tcPr>
          <w:p w14:paraId="6D2E528A" w14:textId="5489DEBF" w:rsidR="00E72844" w:rsidRPr="0099632B" w:rsidRDefault="00E72844" w:rsidP="00DD724B">
            <w:pPr>
              <w:rPr>
                <w:rFonts w:ascii="Arial" w:eastAsiaTheme="majorEastAsia" w:hAnsi="Arial" w:cs="Arial"/>
                <w:color w:val="2F5496" w:themeColor="accent1" w:themeShade="BF"/>
                <w:sz w:val="24"/>
                <w:szCs w:val="24"/>
              </w:rPr>
            </w:pPr>
            <w:r w:rsidRPr="0099632B">
              <w:rPr>
                <w:rFonts w:ascii="Arial" w:hAnsi="Arial" w:cs="Arial"/>
                <w:b/>
                <w:bCs/>
                <w:sz w:val="20"/>
                <w:szCs w:val="20"/>
              </w:rPr>
              <w:t>Year-on year change 2022-23 to 2023-24</w:t>
            </w:r>
          </w:p>
        </w:tc>
        <w:tc>
          <w:tcPr>
            <w:tcW w:w="3827" w:type="dxa"/>
            <w:shd w:val="clear" w:color="auto" w:fill="D9D9D9" w:themeFill="background1" w:themeFillShade="D9"/>
          </w:tcPr>
          <w:p w14:paraId="252179B0" w14:textId="2E5A1996" w:rsidR="00E72844" w:rsidRPr="0099632B" w:rsidRDefault="00E72844" w:rsidP="00DD724B">
            <w:pPr>
              <w:rPr>
                <w:rFonts w:ascii="Arial" w:eastAsiaTheme="majorEastAsia" w:hAnsi="Arial" w:cs="Arial"/>
                <w:color w:val="2F5496" w:themeColor="accent1" w:themeShade="BF"/>
                <w:sz w:val="24"/>
                <w:szCs w:val="24"/>
              </w:rPr>
            </w:pPr>
            <w:r w:rsidRPr="0099632B">
              <w:rPr>
                <w:rFonts w:ascii="Arial" w:hAnsi="Arial" w:cs="Arial"/>
                <w:b/>
                <w:bCs/>
                <w:sz w:val="20"/>
                <w:szCs w:val="20"/>
              </w:rPr>
              <w:t xml:space="preserve">5 </w:t>
            </w:r>
            <w:proofErr w:type="gramStart"/>
            <w:r w:rsidRPr="0099632B">
              <w:rPr>
                <w:rFonts w:ascii="Arial" w:hAnsi="Arial" w:cs="Arial"/>
                <w:b/>
                <w:bCs/>
                <w:sz w:val="20"/>
                <w:szCs w:val="20"/>
              </w:rPr>
              <w:t>year</w:t>
            </w:r>
            <w:proofErr w:type="gramEnd"/>
            <w:r w:rsidRPr="0099632B">
              <w:rPr>
                <w:rFonts w:ascii="Arial" w:hAnsi="Arial" w:cs="Arial"/>
                <w:b/>
                <w:bCs/>
                <w:sz w:val="20"/>
                <w:szCs w:val="20"/>
              </w:rPr>
              <w:t xml:space="preserve"> change 2018-19 to 2023-24</w:t>
            </w:r>
          </w:p>
        </w:tc>
      </w:tr>
      <w:bookmarkEnd w:id="68"/>
      <w:tr w:rsidR="00E72844" w:rsidRPr="0099632B" w14:paraId="7A676E54" w14:textId="77777777" w:rsidTr="009A0727">
        <w:tc>
          <w:tcPr>
            <w:tcW w:w="1838" w:type="dxa"/>
            <w:shd w:val="clear" w:color="auto" w:fill="D9D9D9" w:themeFill="background1" w:themeFillShade="D9"/>
          </w:tcPr>
          <w:p w14:paraId="6A13D84C" w14:textId="1162C484" w:rsidR="00E72844" w:rsidRPr="0099632B" w:rsidRDefault="00E72844" w:rsidP="005C78A5">
            <w:pPr>
              <w:rPr>
                <w:rFonts w:ascii="Arial" w:eastAsiaTheme="majorEastAsia" w:hAnsi="Arial" w:cs="Arial"/>
                <w:b/>
                <w:bCs/>
                <w:color w:val="2F5496" w:themeColor="accent1" w:themeShade="BF"/>
                <w:sz w:val="24"/>
                <w:szCs w:val="24"/>
              </w:rPr>
            </w:pPr>
            <w:r w:rsidRPr="0099632B">
              <w:rPr>
                <w:rFonts w:ascii="Arial" w:hAnsi="Arial" w:cs="Arial"/>
                <w:color w:val="000000"/>
                <w:sz w:val="20"/>
                <w:szCs w:val="20"/>
              </w:rPr>
              <w:t xml:space="preserve">Direct Filled Jobs </w:t>
            </w:r>
          </w:p>
        </w:tc>
        <w:tc>
          <w:tcPr>
            <w:tcW w:w="4111" w:type="dxa"/>
          </w:tcPr>
          <w:p w14:paraId="286D9BC1" w14:textId="761F8E13" w:rsidR="00E72844" w:rsidRPr="0099632B" w:rsidRDefault="00E72844" w:rsidP="005C78A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4E1E3A" w:rsidRPr="0099632B">
              <w:rPr>
                <w:rFonts w:ascii="Arial" w:hAnsi="Arial" w:cs="Arial"/>
              </w:rPr>
              <w:t>7</w:t>
            </w:r>
            <w:r w:rsidRPr="0099632B">
              <w:rPr>
                <w:rFonts w:ascii="Arial" w:hAnsi="Arial" w:cs="Arial"/>
              </w:rPr>
              <w:t xml:space="preserve">% compared to 2022-23 financial year </w:t>
            </w:r>
          </w:p>
        </w:tc>
        <w:tc>
          <w:tcPr>
            <w:tcW w:w="3827" w:type="dxa"/>
          </w:tcPr>
          <w:p w14:paraId="0FFD104F" w14:textId="74E958E8" w:rsidR="00E72844" w:rsidRPr="0099632B" w:rsidRDefault="004E1E3A" w:rsidP="005C78A5">
            <w:pPr>
              <w:rPr>
                <w:rFonts w:ascii="Arial" w:eastAsiaTheme="majorEastAsia" w:hAnsi="Arial" w:cs="Arial"/>
                <w:color w:val="2F5496" w:themeColor="accent1" w:themeShade="BF"/>
                <w:sz w:val="24"/>
                <w:szCs w:val="24"/>
              </w:rPr>
            </w:pPr>
            <w:r w:rsidRPr="0099632B">
              <w:rPr>
                <w:rFonts w:ascii="Arial" w:hAnsi="Arial" w:cs="Arial"/>
              </w:rPr>
              <w:t>In</w:t>
            </w:r>
            <w:r w:rsidR="00E72844" w:rsidRPr="0099632B">
              <w:rPr>
                <w:rFonts w:ascii="Arial" w:hAnsi="Arial" w:cs="Arial"/>
              </w:rPr>
              <w:t xml:space="preserve">creased 7% compared to 2018-19 financial year </w:t>
            </w:r>
          </w:p>
        </w:tc>
      </w:tr>
      <w:tr w:rsidR="00E72844" w:rsidRPr="0099632B" w14:paraId="51E08497" w14:textId="77777777" w:rsidTr="009A0727">
        <w:trPr>
          <w:trHeight w:val="552"/>
        </w:trPr>
        <w:tc>
          <w:tcPr>
            <w:tcW w:w="1838" w:type="dxa"/>
            <w:shd w:val="clear" w:color="auto" w:fill="D9D9D9" w:themeFill="background1" w:themeFillShade="D9"/>
          </w:tcPr>
          <w:p w14:paraId="6D007F3A" w14:textId="176B899E" w:rsidR="00E72844" w:rsidRPr="0099632B" w:rsidRDefault="00E72844" w:rsidP="005C78A5">
            <w:pPr>
              <w:rPr>
                <w:rFonts w:ascii="Arial" w:eastAsiaTheme="majorEastAsia" w:hAnsi="Arial" w:cs="Arial"/>
                <w:b/>
                <w:bCs/>
                <w:color w:val="2F5496" w:themeColor="accent1" w:themeShade="BF"/>
                <w:sz w:val="24"/>
                <w:szCs w:val="24"/>
              </w:rPr>
            </w:pPr>
            <w:r w:rsidRPr="0099632B">
              <w:rPr>
                <w:rFonts w:ascii="Arial" w:hAnsi="Arial" w:cs="Arial"/>
                <w:color w:val="000000"/>
                <w:sz w:val="20"/>
                <w:szCs w:val="20"/>
              </w:rPr>
              <w:t xml:space="preserve">Indirect Filled Jobs </w:t>
            </w:r>
          </w:p>
        </w:tc>
        <w:tc>
          <w:tcPr>
            <w:tcW w:w="4111" w:type="dxa"/>
          </w:tcPr>
          <w:p w14:paraId="5EEF4CF8" w14:textId="67291854" w:rsidR="00E72844" w:rsidRPr="0099632B" w:rsidRDefault="00E72844" w:rsidP="005C78A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4E1E3A" w:rsidRPr="0099632B">
              <w:rPr>
                <w:rFonts w:ascii="Arial" w:hAnsi="Arial" w:cs="Arial"/>
              </w:rPr>
              <w:t>10</w:t>
            </w:r>
            <w:r w:rsidRPr="0099632B">
              <w:rPr>
                <w:rFonts w:ascii="Arial" w:hAnsi="Arial" w:cs="Arial"/>
              </w:rPr>
              <w:t xml:space="preserve">% compared to 2022-23 financial year </w:t>
            </w:r>
          </w:p>
        </w:tc>
        <w:tc>
          <w:tcPr>
            <w:tcW w:w="3827" w:type="dxa"/>
          </w:tcPr>
          <w:p w14:paraId="1D68A076" w14:textId="3BEE425C" w:rsidR="00E72844" w:rsidRPr="0099632B" w:rsidRDefault="00E72844" w:rsidP="005C78A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974A1C" w:rsidRPr="0099632B">
              <w:rPr>
                <w:rFonts w:ascii="Arial" w:hAnsi="Arial" w:cs="Arial"/>
              </w:rPr>
              <w:t>17</w:t>
            </w:r>
            <w:r w:rsidRPr="0099632B">
              <w:rPr>
                <w:rFonts w:ascii="Arial" w:hAnsi="Arial" w:cs="Arial"/>
              </w:rPr>
              <w:t xml:space="preserve">% compared to 2018-19 financial year </w:t>
            </w:r>
          </w:p>
        </w:tc>
      </w:tr>
      <w:tr w:rsidR="00E72844" w:rsidRPr="0099632B" w14:paraId="75B917AA" w14:textId="77777777" w:rsidTr="009A0727">
        <w:tc>
          <w:tcPr>
            <w:tcW w:w="1838" w:type="dxa"/>
            <w:shd w:val="clear" w:color="auto" w:fill="D9D9D9" w:themeFill="background1" w:themeFillShade="D9"/>
          </w:tcPr>
          <w:p w14:paraId="2D4B77C3" w14:textId="5B755CD7" w:rsidR="00E72844" w:rsidRPr="0099632B" w:rsidRDefault="00E72844" w:rsidP="005C78A5">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 xml:space="preserve">Total Filled Jobs </w:t>
            </w:r>
          </w:p>
        </w:tc>
        <w:tc>
          <w:tcPr>
            <w:tcW w:w="4111" w:type="dxa"/>
          </w:tcPr>
          <w:p w14:paraId="46DDED67" w14:textId="7A21A3A3" w:rsidR="00E72844" w:rsidRPr="0099632B" w:rsidRDefault="00E72844" w:rsidP="005C78A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4E1E3A" w:rsidRPr="0099632B">
              <w:rPr>
                <w:rFonts w:ascii="Arial" w:hAnsi="Arial" w:cs="Arial"/>
              </w:rPr>
              <w:t>8</w:t>
            </w:r>
            <w:r w:rsidRPr="0099632B">
              <w:rPr>
                <w:rFonts w:ascii="Arial" w:hAnsi="Arial" w:cs="Arial"/>
              </w:rPr>
              <w:t xml:space="preserve">% compared to 2022-23 financial year </w:t>
            </w:r>
          </w:p>
        </w:tc>
        <w:tc>
          <w:tcPr>
            <w:tcW w:w="3827" w:type="dxa"/>
          </w:tcPr>
          <w:p w14:paraId="4AE95D9C" w14:textId="7E18C485" w:rsidR="00E72844" w:rsidRPr="0099632B" w:rsidRDefault="004E1E3A" w:rsidP="005C78A5">
            <w:pPr>
              <w:rPr>
                <w:rFonts w:ascii="Arial" w:eastAsiaTheme="majorEastAsia" w:hAnsi="Arial" w:cs="Arial"/>
                <w:color w:val="2F5496" w:themeColor="accent1" w:themeShade="BF"/>
                <w:sz w:val="24"/>
                <w:szCs w:val="24"/>
              </w:rPr>
            </w:pPr>
            <w:r w:rsidRPr="0099632B">
              <w:rPr>
                <w:rFonts w:ascii="Arial" w:hAnsi="Arial" w:cs="Arial"/>
              </w:rPr>
              <w:t>In</w:t>
            </w:r>
            <w:r w:rsidR="00E72844" w:rsidRPr="0099632B">
              <w:rPr>
                <w:rFonts w:ascii="Arial" w:hAnsi="Arial" w:cs="Arial"/>
              </w:rPr>
              <w:t xml:space="preserve">creased </w:t>
            </w:r>
            <w:r w:rsidRPr="0099632B">
              <w:rPr>
                <w:rFonts w:ascii="Arial" w:hAnsi="Arial" w:cs="Arial"/>
              </w:rPr>
              <w:t>10</w:t>
            </w:r>
            <w:r w:rsidR="00E72844" w:rsidRPr="0099632B">
              <w:rPr>
                <w:rFonts w:ascii="Arial" w:hAnsi="Arial" w:cs="Arial"/>
              </w:rPr>
              <w:t xml:space="preserve">% compared to 2018-19 financial year </w:t>
            </w:r>
          </w:p>
        </w:tc>
      </w:tr>
    </w:tbl>
    <w:p w14:paraId="0C122A91" w14:textId="77777777" w:rsidR="005D3639" w:rsidRPr="0099632B" w:rsidRDefault="005D3639" w:rsidP="00BC556B">
      <w:pPr>
        <w:pStyle w:val="NoSpacing"/>
        <w:rPr>
          <w:rFonts w:ascii="Arial" w:hAnsi="Arial" w:cs="Arial"/>
        </w:rPr>
      </w:pPr>
    </w:p>
    <w:p w14:paraId="5B854453" w14:textId="76E113EF" w:rsidR="00514AFF" w:rsidRPr="0099632B" w:rsidRDefault="00C43065" w:rsidP="00313271">
      <w:pPr>
        <w:pStyle w:val="Heading3"/>
        <w:spacing w:after="120"/>
        <w:rPr>
          <w:rFonts w:ascii="Arial" w:eastAsiaTheme="minorHAnsi" w:hAnsi="Arial" w:cs="Arial"/>
          <w:color w:val="002060"/>
        </w:rPr>
      </w:pPr>
      <w:r w:rsidRPr="0099632B">
        <w:rPr>
          <w:rFonts w:ascii="Arial" w:eastAsiaTheme="minorHAnsi" w:hAnsi="Arial" w:cs="Arial"/>
          <w:color w:val="002060"/>
        </w:rPr>
        <w:t xml:space="preserve">9.3.4 </w:t>
      </w:r>
      <w:r w:rsidR="00142E69" w:rsidRPr="0099632B">
        <w:rPr>
          <w:rFonts w:ascii="Arial" w:eastAsiaTheme="minorHAnsi" w:hAnsi="Arial" w:cs="Arial"/>
          <w:color w:val="002060"/>
        </w:rPr>
        <w:t>Percentage</w:t>
      </w:r>
      <w:r w:rsidR="00514AFF" w:rsidRPr="0099632B">
        <w:rPr>
          <w:rFonts w:ascii="Arial" w:eastAsiaTheme="minorHAnsi" w:hAnsi="Arial" w:cs="Arial"/>
          <w:color w:val="002060"/>
        </w:rPr>
        <w:t xml:space="preserve"> point change in direct, indirect and total </w:t>
      </w:r>
      <w:r w:rsidR="00EA236F" w:rsidRPr="0099632B">
        <w:rPr>
          <w:rFonts w:ascii="Arial" w:eastAsiaTheme="minorHAnsi" w:hAnsi="Arial" w:cs="Arial"/>
          <w:color w:val="002060"/>
        </w:rPr>
        <w:t xml:space="preserve">tourism contribution </w:t>
      </w:r>
      <w:r w:rsidR="00807B1C" w:rsidRPr="0099632B">
        <w:rPr>
          <w:rFonts w:ascii="Arial" w:eastAsiaTheme="minorHAnsi" w:hAnsi="Arial" w:cs="Arial"/>
          <w:color w:val="002060"/>
        </w:rPr>
        <w:t xml:space="preserve">of </w:t>
      </w:r>
      <w:r w:rsidR="00514AFF" w:rsidRPr="0099632B">
        <w:rPr>
          <w:rFonts w:ascii="Arial" w:eastAsiaTheme="minorHAnsi" w:hAnsi="Arial" w:cs="Arial"/>
          <w:color w:val="002060"/>
        </w:rPr>
        <w:t xml:space="preserve">filled jobs </w:t>
      </w:r>
      <w:r w:rsidR="00807B1C" w:rsidRPr="0099632B">
        <w:rPr>
          <w:rFonts w:ascii="Arial" w:eastAsiaTheme="minorHAnsi" w:hAnsi="Arial" w:cs="Arial"/>
          <w:color w:val="002060"/>
        </w:rPr>
        <w:t>to</w:t>
      </w:r>
      <w:r w:rsidR="00514AFF" w:rsidRPr="0099632B">
        <w:rPr>
          <w:rFonts w:ascii="Arial" w:eastAsiaTheme="minorHAnsi" w:hAnsi="Arial" w:cs="Arial"/>
          <w:color w:val="002060"/>
        </w:rPr>
        <w:t xml:space="preserve"> Victoria</w:t>
      </w:r>
      <w:r w:rsidR="00807B1C" w:rsidRPr="0099632B">
        <w:rPr>
          <w:rFonts w:ascii="Arial" w:eastAsiaTheme="minorHAnsi" w:hAnsi="Arial" w:cs="Arial"/>
          <w:color w:val="002060"/>
        </w:rPr>
        <w:t>’s economy</w:t>
      </w:r>
      <w:r w:rsidR="004023CA" w:rsidRPr="0099632B">
        <w:rPr>
          <w:rFonts w:ascii="Arial" w:eastAsiaTheme="minorHAnsi" w:hAnsi="Arial" w:cs="Arial"/>
          <w:color w:val="002060"/>
        </w:rPr>
        <w:t xml:space="preserve"> compared to previous financial years</w:t>
      </w:r>
      <w:r w:rsidR="00514AFF" w:rsidRPr="0099632B">
        <w:rPr>
          <w:rFonts w:ascii="Arial" w:eastAsiaTheme="minorHAnsi" w:hAnsi="Arial" w:cs="Arial"/>
          <w:color w:val="002060"/>
        </w:rPr>
        <w:t xml:space="preserve"> </w:t>
      </w:r>
    </w:p>
    <w:tbl>
      <w:tblPr>
        <w:tblStyle w:val="TableGrid"/>
        <w:tblW w:w="9776" w:type="dxa"/>
        <w:tblLayout w:type="fixed"/>
        <w:tblLook w:val="04A0" w:firstRow="1" w:lastRow="0" w:firstColumn="1" w:lastColumn="0" w:noHBand="0" w:noVBand="1"/>
      </w:tblPr>
      <w:tblGrid>
        <w:gridCol w:w="1814"/>
        <w:gridCol w:w="4135"/>
        <w:gridCol w:w="3827"/>
      </w:tblGrid>
      <w:tr w:rsidR="009A0727" w:rsidRPr="0099632B" w14:paraId="7105113E" w14:textId="77777777" w:rsidTr="009A0727">
        <w:trPr>
          <w:tblHeader/>
        </w:trPr>
        <w:tc>
          <w:tcPr>
            <w:tcW w:w="1814" w:type="dxa"/>
            <w:shd w:val="clear" w:color="auto" w:fill="D9D9D9" w:themeFill="background1" w:themeFillShade="D9"/>
          </w:tcPr>
          <w:p w14:paraId="3B5077A2" w14:textId="77777777" w:rsidR="009A0727" w:rsidRPr="0099632B" w:rsidRDefault="009A0727" w:rsidP="00DD724B">
            <w:pPr>
              <w:rPr>
                <w:rFonts w:ascii="Arial" w:hAnsi="Arial" w:cs="Arial"/>
                <w:color w:val="000000"/>
                <w:sz w:val="20"/>
                <w:szCs w:val="20"/>
              </w:rPr>
            </w:pPr>
            <w:bookmarkStart w:id="69" w:name="Title_25" w:colFirst="0" w:colLast="0"/>
          </w:p>
        </w:tc>
        <w:tc>
          <w:tcPr>
            <w:tcW w:w="4135" w:type="dxa"/>
            <w:shd w:val="clear" w:color="auto" w:fill="D9D9D9" w:themeFill="background1" w:themeFillShade="D9"/>
          </w:tcPr>
          <w:p w14:paraId="3AF1238E" w14:textId="3E7497A4" w:rsidR="009A0727" w:rsidRPr="0099632B" w:rsidRDefault="009A0727" w:rsidP="00DD724B">
            <w:pPr>
              <w:rPr>
                <w:rFonts w:ascii="Arial" w:hAnsi="Arial" w:cs="Arial"/>
              </w:rPr>
            </w:pPr>
            <w:r w:rsidRPr="0099632B">
              <w:rPr>
                <w:rFonts w:ascii="Arial" w:hAnsi="Arial" w:cs="Arial"/>
                <w:b/>
                <w:bCs/>
                <w:sz w:val="20"/>
                <w:szCs w:val="20"/>
              </w:rPr>
              <w:t>Year-on year change 2022-23 to 2023-24</w:t>
            </w:r>
          </w:p>
        </w:tc>
        <w:tc>
          <w:tcPr>
            <w:tcW w:w="3827" w:type="dxa"/>
            <w:shd w:val="clear" w:color="auto" w:fill="D9D9D9" w:themeFill="background1" w:themeFillShade="D9"/>
          </w:tcPr>
          <w:p w14:paraId="4FEDCE02" w14:textId="42CB13E2" w:rsidR="009A0727" w:rsidRPr="0099632B" w:rsidRDefault="009A0727" w:rsidP="00DD724B">
            <w:pPr>
              <w:rPr>
                <w:rFonts w:ascii="Arial" w:hAnsi="Arial" w:cs="Arial"/>
              </w:rPr>
            </w:pPr>
            <w:r w:rsidRPr="0099632B">
              <w:rPr>
                <w:rFonts w:ascii="Arial" w:hAnsi="Arial" w:cs="Arial"/>
                <w:b/>
                <w:bCs/>
                <w:sz w:val="20"/>
                <w:szCs w:val="20"/>
              </w:rPr>
              <w:t xml:space="preserve">5 </w:t>
            </w:r>
            <w:proofErr w:type="gramStart"/>
            <w:r w:rsidRPr="0099632B">
              <w:rPr>
                <w:rFonts w:ascii="Arial" w:hAnsi="Arial" w:cs="Arial"/>
                <w:b/>
                <w:bCs/>
                <w:sz w:val="20"/>
                <w:szCs w:val="20"/>
              </w:rPr>
              <w:t>year</w:t>
            </w:r>
            <w:proofErr w:type="gramEnd"/>
            <w:r w:rsidRPr="0099632B">
              <w:rPr>
                <w:rFonts w:ascii="Arial" w:hAnsi="Arial" w:cs="Arial"/>
                <w:b/>
                <w:bCs/>
                <w:sz w:val="20"/>
                <w:szCs w:val="20"/>
              </w:rPr>
              <w:t xml:space="preserve"> change 2018-19 to 2023-24</w:t>
            </w:r>
          </w:p>
        </w:tc>
      </w:tr>
      <w:bookmarkEnd w:id="69"/>
      <w:tr w:rsidR="009A0727" w:rsidRPr="0099632B" w14:paraId="75030750" w14:textId="77777777" w:rsidTr="009A0727">
        <w:tc>
          <w:tcPr>
            <w:tcW w:w="1814" w:type="dxa"/>
            <w:shd w:val="clear" w:color="auto" w:fill="D9D9D9" w:themeFill="background1" w:themeFillShade="D9"/>
          </w:tcPr>
          <w:p w14:paraId="58CDC779" w14:textId="3A117474" w:rsidR="009A0727" w:rsidRPr="0099632B" w:rsidRDefault="009A0727" w:rsidP="005C78A5">
            <w:pPr>
              <w:rPr>
                <w:rFonts w:ascii="Arial" w:eastAsiaTheme="majorEastAsia" w:hAnsi="Arial" w:cs="Arial"/>
                <w:b/>
                <w:bCs/>
                <w:color w:val="2F5496" w:themeColor="accent1" w:themeShade="BF"/>
                <w:sz w:val="24"/>
                <w:szCs w:val="24"/>
              </w:rPr>
            </w:pPr>
            <w:r w:rsidRPr="0099632B">
              <w:rPr>
                <w:rFonts w:ascii="Arial" w:hAnsi="Arial" w:cs="Arial"/>
                <w:color w:val="000000"/>
                <w:sz w:val="20"/>
                <w:szCs w:val="20"/>
              </w:rPr>
              <w:t xml:space="preserve">Direct Filled Jobs </w:t>
            </w:r>
          </w:p>
        </w:tc>
        <w:tc>
          <w:tcPr>
            <w:tcW w:w="4135" w:type="dxa"/>
          </w:tcPr>
          <w:p w14:paraId="2DB4CB93" w14:textId="0DB78835" w:rsidR="009A0727" w:rsidRPr="0099632B" w:rsidRDefault="009A0727" w:rsidP="005C78A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974A1C" w:rsidRPr="0099632B">
              <w:rPr>
                <w:rFonts w:ascii="Arial" w:hAnsi="Arial" w:cs="Arial"/>
              </w:rPr>
              <w:t>0.2</w:t>
            </w:r>
            <w:r w:rsidRPr="0099632B">
              <w:rPr>
                <w:rFonts w:ascii="Arial" w:hAnsi="Arial" w:cs="Arial"/>
              </w:rPr>
              <w:t xml:space="preserve">% points compared to 2022-23 financial year </w:t>
            </w:r>
          </w:p>
        </w:tc>
        <w:tc>
          <w:tcPr>
            <w:tcW w:w="3827" w:type="dxa"/>
          </w:tcPr>
          <w:p w14:paraId="0BF299CD" w14:textId="01175481" w:rsidR="009A0727" w:rsidRPr="0099632B" w:rsidRDefault="009A0727" w:rsidP="005C78A5">
            <w:pPr>
              <w:rPr>
                <w:rFonts w:ascii="Arial" w:eastAsiaTheme="majorEastAsia" w:hAnsi="Arial" w:cs="Arial"/>
                <w:color w:val="2F5496" w:themeColor="accent1" w:themeShade="BF"/>
                <w:sz w:val="24"/>
                <w:szCs w:val="24"/>
              </w:rPr>
            </w:pPr>
            <w:r w:rsidRPr="0099632B">
              <w:rPr>
                <w:rFonts w:ascii="Arial" w:hAnsi="Arial" w:cs="Arial"/>
              </w:rPr>
              <w:t xml:space="preserve">Decreased </w:t>
            </w:r>
            <w:r w:rsidR="00974A1C" w:rsidRPr="0099632B">
              <w:rPr>
                <w:rFonts w:ascii="Arial" w:hAnsi="Arial" w:cs="Arial"/>
              </w:rPr>
              <w:t>0.4</w:t>
            </w:r>
            <w:r w:rsidRPr="0099632B">
              <w:rPr>
                <w:rFonts w:ascii="Arial" w:hAnsi="Arial" w:cs="Arial"/>
              </w:rPr>
              <w:t xml:space="preserve">% points compared to 2018-19 financial year </w:t>
            </w:r>
          </w:p>
        </w:tc>
      </w:tr>
      <w:tr w:rsidR="009A0727" w:rsidRPr="0099632B" w14:paraId="4B4690F6" w14:textId="77777777" w:rsidTr="009A0727">
        <w:tc>
          <w:tcPr>
            <w:tcW w:w="1814" w:type="dxa"/>
            <w:shd w:val="clear" w:color="auto" w:fill="D9D9D9" w:themeFill="background1" w:themeFillShade="D9"/>
          </w:tcPr>
          <w:p w14:paraId="103C90F6" w14:textId="4AAD6885" w:rsidR="009A0727" w:rsidRPr="0099632B" w:rsidRDefault="009A0727" w:rsidP="005C78A5">
            <w:pPr>
              <w:rPr>
                <w:rFonts w:ascii="Arial" w:eastAsiaTheme="majorEastAsia" w:hAnsi="Arial" w:cs="Arial"/>
                <w:b/>
                <w:bCs/>
                <w:color w:val="2F5496" w:themeColor="accent1" w:themeShade="BF"/>
                <w:sz w:val="24"/>
                <w:szCs w:val="24"/>
              </w:rPr>
            </w:pPr>
            <w:r w:rsidRPr="0099632B">
              <w:rPr>
                <w:rFonts w:ascii="Arial" w:hAnsi="Arial" w:cs="Arial"/>
                <w:color w:val="000000"/>
                <w:sz w:val="20"/>
                <w:szCs w:val="20"/>
              </w:rPr>
              <w:t xml:space="preserve">Indirect Filled Jobs </w:t>
            </w:r>
          </w:p>
        </w:tc>
        <w:tc>
          <w:tcPr>
            <w:tcW w:w="4135" w:type="dxa"/>
          </w:tcPr>
          <w:p w14:paraId="3C9C9974" w14:textId="39D9C43D" w:rsidR="009A0727" w:rsidRPr="0099632B" w:rsidRDefault="009A0727" w:rsidP="005C78A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974A1C" w:rsidRPr="0099632B">
              <w:rPr>
                <w:rFonts w:ascii="Arial" w:hAnsi="Arial" w:cs="Arial"/>
              </w:rPr>
              <w:t>0.2</w:t>
            </w:r>
            <w:r w:rsidRPr="0099632B">
              <w:rPr>
                <w:rFonts w:ascii="Arial" w:hAnsi="Arial" w:cs="Arial"/>
              </w:rPr>
              <w:t>% point</w:t>
            </w:r>
            <w:r w:rsidR="00974A1C" w:rsidRPr="0099632B">
              <w:rPr>
                <w:rFonts w:ascii="Arial" w:hAnsi="Arial" w:cs="Arial"/>
              </w:rPr>
              <w:t>s</w:t>
            </w:r>
            <w:r w:rsidRPr="0099632B">
              <w:rPr>
                <w:rFonts w:ascii="Arial" w:hAnsi="Arial" w:cs="Arial"/>
              </w:rPr>
              <w:t xml:space="preserve"> compared to 2022-23 financial year </w:t>
            </w:r>
          </w:p>
        </w:tc>
        <w:tc>
          <w:tcPr>
            <w:tcW w:w="3827" w:type="dxa"/>
          </w:tcPr>
          <w:p w14:paraId="5EB7C67D" w14:textId="710D0984" w:rsidR="009A0727" w:rsidRPr="0099632B" w:rsidRDefault="00974A1C" w:rsidP="005C78A5">
            <w:pPr>
              <w:rPr>
                <w:rFonts w:ascii="Arial" w:eastAsiaTheme="majorEastAsia" w:hAnsi="Arial" w:cs="Arial"/>
                <w:color w:val="2F5496" w:themeColor="accent1" w:themeShade="BF"/>
                <w:sz w:val="24"/>
                <w:szCs w:val="24"/>
              </w:rPr>
            </w:pPr>
            <w:r w:rsidRPr="0099632B">
              <w:rPr>
                <w:rFonts w:ascii="Arial" w:hAnsi="Arial" w:cs="Arial"/>
              </w:rPr>
              <w:t>No change</w:t>
            </w:r>
            <w:r w:rsidR="009A0727" w:rsidRPr="0099632B">
              <w:rPr>
                <w:rFonts w:ascii="Arial" w:hAnsi="Arial" w:cs="Arial"/>
              </w:rPr>
              <w:t xml:space="preserve"> compared to 2018-19 financial year </w:t>
            </w:r>
          </w:p>
        </w:tc>
      </w:tr>
      <w:tr w:rsidR="009A0727" w:rsidRPr="0099632B" w14:paraId="0CA05986" w14:textId="77777777" w:rsidTr="00DE1682">
        <w:trPr>
          <w:trHeight w:val="201"/>
        </w:trPr>
        <w:tc>
          <w:tcPr>
            <w:tcW w:w="1814" w:type="dxa"/>
            <w:shd w:val="clear" w:color="auto" w:fill="D9D9D9" w:themeFill="background1" w:themeFillShade="D9"/>
          </w:tcPr>
          <w:p w14:paraId="6D340841" w14:textId="798FA31C" w:rsidR="009A0727" w:rsidRPr="0099632B" w:rsidRDefault="009A0727" w:rsidP="005C78A5">
            <w:pPr>
              <w:rPr>
                <w:rFonts w:ascii="Arial" w:eastAsiaTheme="majorEastAsia" w:hAnsi="Arial" w:cs="Arial"/>
                <w:b/>
                <w:bCs/>
                <w:color w:val="2F5496" w:themeColor="accent1" w:themeShade="BF"/>
                <w:sz w:val="24"/>
                <w:szCs w:val="24"/>
              </w:rPr>
            </w:pPr>
            <w:r w:rsidRPr="0099632B">
              <w:rPr>
                <w:rFonts w:ascii="Arial" w:hAnsi="Arial" w:cs="Arial"/>
                <w:b/>
                <w:bCs/>
                <w:color w:val="000000"/>
                <w:sz w:val="20"/>
                <w:szCs w:val="20"/>
              </w:rPr>
              <w:t xml:space="preserve">Total Filled Jobs </w:t>
            </w:r>
          </w:p>
        </w:tc>
        <w:tc>
          <w:tcPr>
            <w:tcW w:w="4135" w:type="dxa"/>
          </w:tcPr>
          <w:p w14:paraId="6E6520F4" w14:textId="36ABECB7" w:rsidR="009A0727" w:rsidRPr="0099632B" w:rsidRDefault="009A0727" w:rsidP="005C78A5">
            <w:pPr>
              <w:rPr>
                <w:rFonts w:ascii="Arial" w:eastAsiaTheme="majorEastAsia" w:hAnsi="Arial" w:cs="Arial"/>
                <w:color w:val="2F5496" w:themeColor="accent1" w:themeShade="BF"/>
                <w:sz w:val="24"/>
                <w:szCs w:val="24"/>
              </w:rPr>
            </w:pPr>
            <w:r w:rsidRPr="0099632B">
              <w:rPr>
                <w:rFonts w:ascii="Arial" w:hAnsi="Arial" w:cs="Arial"/>
              </w:rPr>
              <w:t xml:space="preserve">Increased </w:t>
            </w:r>
            <w:r w:rsidR="00974A1C" w:rsidRPr="0099632B">
              <w:rPr>
                <w:rFonts w:ascii="Arial" w:hAnsi="Arial" w:cs="Arial"/>
              </w:rPr>
              <w:t>0.4</w:t>
            </w:r>
            <w:r w:rsidRPr="0099632B">
              <w:rPr>
                <w:rFonts w:ascii="Arial" w:hAnsi="Arial" w:cs="Arial"/>
              </w:rPr>
              <w:t xml:space="preserve">% points compared to 2022-23 financial year </w:t>
            </w:r>
          </w:p>
        </w:tc>
        <w:tc>
          <w:tcPr>
            <w:tcW w:w="3827" w:type="dxa"/>
          </w:tcPr>
          <w:p w14:paraId="38AE2A7A" w14:textId="0C6F48A5" w:rsidR="009A0727" w:rsidRPr="0099632B" w:rsidRDefault="009A0727" w:rsidP="005C78A5">
            <w:pPr>
              <w:rPr>
                <w:rFonts w:ascii="Arial" w:eastAsiaTheme="majorEastAsia" w:hAnsi="Arial" w:cs="Arial"/>
                <w:color w:val="2F5496" w:themeColor="accent1" w:themeShade="BF"/>
                <w:sz w:val="24"/>
                <w:szCs w:val="24"/>
              </w:rPr>
            </w:pPr>
            <w:r w:rsidRPr="0099632B">
              <w:rPr>
                <w:rFonts w:ascii="Arial" w:hAnsi="Arial" w:cs="Arial"/>
              </w:rPr>
              <w:t xml:space="preserve">Decreased </w:t>
            </w:r>
            <w:r w:rsidR="00974A1C" w:rsidRPr="0099632B">
              <w:rPr>
                <w:rFonts w:ascii="Arial" w:hAnsi="Arial" w:cs="Arial"/>
              </w:rPr>
              <w:t>0.4</w:t>
            </w:r>
            <w:r w:rsidRPr="0099632B">
              <w:rPr>
                <w:rFonts w:ascii="Arial" w:hAnsi="Arial" w:cs="Arial"/>
              </w:rPr>
              <w:t xml:space="preserve">% points compared to 2018-19 financial year </w:t>
            </w:r>
          </w:p>
        </w:tc>
      </w:tr>
    </w:tbl>
    <w:p w14:paraId="7E971CED" w14:textId="77777777" w:rsidR="002A6E5A" w:rsidRPr="0099632B" w:rsidRDefault="002A6E5A" w:rsidP="00BC556B">
      <w:pPr>
        <w:pStyle w:val="NoSpacing"/>
        <w:rPr>
          <w:rFonts w:ascii="Arial" w:eastAsiaTheme="majorEastAsia" w:hAnsi="Arial" w:cs="Arial"/>
        </w:rPr>
      </w:pPr>
    </w:p>
    <w:p w14:paraId="74FBCB25" w14:textId="37AB3986" w:rsidR="00A21BC7" w:rsidRPr="0099632B" w:rsidRDefault="00C43065" w:rsidP="00313271">
      <w:pPr>
        <w:pStyle w:val="Heading2"/>
        <w:spacing w:before="240" w:after="120"/>
        <w:rPr>
          <w:rFonts w:ascii="Arial" w:hAnsi="Arial" w:cs="Arial"/>
          <w:color w:val="002060"/>
        </w:rPr>
      </w:pPr>
      <w:bookmarkStart w:id="70" w:name="_Toc194938481"/>
      <w:r w:rsidRPr="0099632B">
        <w:rPr>
          <w:rFonts w:ascii="Arial" w:hAnsi="Arial" w:cs="Arial"/>
          <w:color w:val="002060"/>
        </w:rPr>
        <w:t xml:space="preserve">9.4 </w:t>
      </w:r>
      <w:r w:rsidR="00A21BC7" w:rsidRPr="0099632B">
        <w:rPr>
          <w:rFonts w:ascii="Arial" w:hAnsi="Arial" w:cs="Arial"/>
          <w:color w:val="002060"/>
        </w:rPr>
        <w:t>State comparison</w:t>
      </w:r>
      <w:r w:rsidR="004230A2" w:rsidRPr="0099632B">
        <w:rPr>
          <w:rFonts w:ascii="Arial" w:hAnsi="Arial" w:cs="Arial"/>
          <w:color w:val="002060"/>
        </w:rPr>
        <w:t>s</w:t>
      </w:r>
      <w:bookmarkEnd w:id="70"/>
      <w:r w:rsidR="00A21BC7" w:rsidRPr="0099632B">
        <w:rPr>
          <w:rFonts w:ascii="Arial" w:hAnsi="Arial" w:cs="Arial"/>
          <w:color w:val="002060"/>
        </w:rPr>
        <w:t xml:space="preserve"> </w:t>
      </w:r>
    </w:p>
    <w:p w14:paraId="7660AAFE" w14:textId="497B2CCC" w:rsidR="00C36B47" w:rsidRPr="00B82E1F" w:rsidRDefault="00C43065" w:rsidP="00313271">
      <w:pPr>
        <w:pStyle w:val="Heading3"/>
        <w:spacing w:before="240" w:after="120"/>
        <w:rPr>
          <w:rFonts w:ascii="Arial" w:eastAsiaTheme="minorHAnsi" w:hAnsi="Arial" w:cs="Arial"/>
          <w:color w:val="002060"/>
        </w:rPr>
      </w:pPr>
      <w:r w:rsidRPr="0099632B">
        <w:rPr>
          <w:rFonts w:ascii="Arial" w:eastAsiaTheme="minorHAnsi" w:hAnsi="Arial" w:cs="Arial"/>
          <w:color w:val="002060"/>
        </w:rPr>
        <w:t xml:space="preserve">9.4.1 </w:t>
      </w:r>
      <w:r w:rsidR="00C36B47" w:rsidRPr="0099632B">
        <w:rPr>
          <w:rFonts w:ascii="Arial" w:eastAsiaTheme="minorHAnsi" w:hAnsi="Arial" w:cs="Arial"/>
          <w:color w:val="002060"/>
        </w:rPr>
        <w:t xml:space="preserve">Summary of tourism’s contribution to Gross State Product </w:t>
      </w:r>
      <w:r w:rsidR="00660E8C" w:rsidRPr="0099632B">
        <w:rPr>
          <w:rFonts w:ascii="Arial" w:eastAsiaTheme="minorHAnsi" w:hAnsi="Arial" w:cs="Arial"/>
          <w:color w:val="002060"/>
        </w:rPr>
        <w:t xml:space="preserve">(GSP) </w:t>
      </w:r>
      <w:r w:rsidR="00C36B47" w:rsidRPr="0099632B">
        <w:rPr>
          <w:rFonts w:ascii="Arial" w:eastAsiaTheme="minorHAnsi" w:hAnsi="Arial" w:cs="Arial"/>
          <w:color w:val="002060"/>
        </w:rPr>
        <w:t xml:space="preserve">in each state/ territory and </w:t>
      </w:r>
      <w:r w:rsidR="000E2A50" w:rsidRPr="0099632B">
        <w:rPr>
          <w:rFonts w:ascii="Arial" w:eastAsiaTheme="minorHAnsi" w:hAnsi="Arial" w:cs="Arial"/>
          <w:color w:val="002060"/>
        </w:rPr>
        <w:t xml:space="preserve">percentage </w:t>
      </w:r>
      <w:r w:rsidR="00C36B47" w:rsidRPr="0099632B">
        <w:rPr>
          <w:rFonts w:ascii="Arial" w:eastAsiaTheme="minorHAnsi" w:hAnsi="Arial" w:cs="Arial"/>
          <w:color w:val="002060"/>
        </w:rPr>
        <w:t>change compared to previous financial years</w:t>
      </w:r>
    </w:p>
    <w:tbl>
      <w:tblPr>
        <w:tblStyle w:val="TableGrid"/>
        <w:tblpPr w:leftFromText="180" w:rightFromText="180" w:vertAnchor="text" w:horzAnchor="margin" w:tblpY="52"/>
        <w:tblW w:w="9749" w:type="dxa"/>
        <w:tblLook w:val="04A0" w:firstRow="1" w:lastRow="0" w:firstColumn="1" w:lastColumn="0" w:noHBand="0" w:noVBand="1"/>
      </w:tblPr>
      <w:tblGrid>
        <w:gridCol w:w="1911"/>
        <w:gridCol w:w="1770"/>
        <w:gridCol w:w="3260"/>
        <w:gridCol w:w="2808"/>
      </w:tblGrid>
      <w:tr w:rsidR="00C36B47" w:rsidRPr="0099632B" w14:paraId="5D6E3229" w14:textId="77777777" w:rsidTr="00AB7222">
        <w:trPr>
          <w:trHeight w:val="340"/>
          <w:tblHeader/>
        </w:trPr>
        <w:tc>
          <w:tcPr>
            <w:tcW w:w="1911" w:type="dxa"/>
            <w:tcBorders>
              <w:bottom w:val="nil"/>
            </w:tcBorders>
            <w:shd w:val="clear" w:color="auto" w:fill="E7E6E6" w:themeFill="background2"/>
          </w:tcPr>
          <w:p w14:paraId="64654C2E" w14:textId="77777777" w:rsidR="00C36B47" w:rsidRPr="0099632B" w:rsidRDefault="00C36B47" w:rsidP="00C36B47">
            <w:pPr>
              <w:rPr>
                <w:rFonts w:ascii="Arial" w:hAnsi="Arial" w:cs="Arial"/>
                <w:b/>
                <w:bCs/>
              </w:rPr>
            </w:pPr>
            <w:bookmarkStart w:id="71" w:name="Title_26" w:colFirst="0" w:colLast="0"/>
            <w:r w:rsidRPr="0099632B">
              <w:rPr>
                <w:rFonts w:ascii="Arial" w:hAnsi="Arial" w:cs="Arial"/>
                <w:b/>
                <w:bCs/>
              </w:rPr>
              <w:t>State/ territory</w:t>
            </w:r>
          </w:p>
        </w:tc>
        <w:tc>
          <w:tcPr>
            <w:tcW w:w="1770" w:type="dxa"/>
            <w:tcBorders>
              <w:bottom w:val="nil"/>
            </w:tcBorders>
            <w:shd w:val="clear" w:color="auto" w:fill="E7E6E6" w:themeFill="background2"/>
          </w:tcPr>
          <w:p w14:paraId="1D2875D4" w14:textId="77777777" w:rsidR="00C36B47" w:rsidRPr="0099632B" w:rsidRDefault="00C36B47" w:rsidP="00C36B47">
            <w:pPr>
              <w:rPr>
                <w:rFonts w:ascii="Arial" w:hAnsi="Arial" w:cs="Arial"/>
                <w:b/>
                <w:bCs/>
              </w:rPr>
            </w:pPr>
            <w:r w:rsidRPr="0099632B">
              <w:rPr>
                <w:rFonts w:ascii="Arial" w:hAnsi="Arial" w:cs="Arial"/>
                <w:b/>
                <w:bCs/>
              </w:rPr>
              <w:t>Total GSP</w:t>
            </w:r>
          </w:p>
        </w:tc>
        <w:tc>
          <w:tcPr>
            <w:tcW w:w="3260" w:type="dxa"/>
            <w:tcBorders>
              <w:bottom w:val="nil"/>
            </w:tcBorders>
            <w:shd w:val="clear" w:color="auto" w:fill="E7E6E6" w:themeFill="background2"/>
          </w:tcPr>
          <w:p w14:paraId="343CF5D2" w14:textId="375EE198" w:rsidR="00C36B47" w:rsidRPr="0099632B" w:rsidRDefault="006647BD" w:rsidP="00C36B47">
            <w:pPr>
              <w:rPr>
                <w:rFonts w:ascii="Arial" w:hAnsi="Arial" w:cs="Arial"/>
                <w:b/>
                <w:bCs/>
              </w:rPr>
            </w:pPr>
            <w:r w:rsidRPr="0099632B">
              <w:rPr>
                <w:rFonts w:ascii="Arial" w:hAnsi="Arial" w:cs="Arial"/>
                <w:b/>
                <w:bCs/>
                <w:sz w:val="20"/>
                <w:szCs w:val="20"/>
              </w:rPr>
              <w:t xml:space="preserve">Year-on year change </w:t>
            </w:r>
            <w:r w:rsidR="001111CF" w:rsidRPr="0099632B">
              <w:rPr>
                <w:rFonts w:ascii="Arial" w:hAnsi="Arial" w:cs="Arial"/>
                <w:b/>
                <w:bCs/>
                <w:sz w:val="20"/>
                <w:szCs w:val="20"/>
              </w:rPr>
              <w:t>2022-23</w:t>
            </w:r>
            <w:r w:rsidRPr="0099632B">
              <w:rPr>
                <w:rFonts w:ascii="Arial" w:hAnsi="Arial" w:cs="Arial"/>
                <w:b/>
                <w:bCs/>
                <w:sz w:val="20"/>
                <w:szCs w:val="20"/>
              </w:rPr>
              <w:t xml:space="preserve"> to </w:t>
            </w:r>
            <w:r w:rsidR="00087CA3" w:rsidRPr="0099632B">
              <w:rPr>
                <w:rFonts w:ascii="Arial" w:hAnsi="Arial" w:cs="Arial"/>
                <w:b/>
                <w:bCs/>
                <w:sz w:val="20"/>
                <w:szCs w:val="20"/>
              </w:rPr>
              <w:t>2023-24</w:t>
            </w:r>
          </w:p>
        </w:tc>
        <w:tc>
          <w:tcPr>
            <w:tcW w:w="2808" w:type="dxa"/>
            <w:tcBorders>
              <w:bottom w:val="nil"/>
            </w:tcBorders>
            <w:shd w:val="clear" w:color="auto" w:fill="E7E6E6" w:themeFill="background2"/>
          </w:tcPr>
          <w:p w14:paraId="21AF4EC9" w14:textId="77777777" w:rsidR="00C36B47" w:rsidRPr="0099632B" w:rsidRDefault="00C36B47" w:rsidP="00C36B47">
            <w:pPr>
              <w:rPr>
                <w:rFonts w:ascii="Arial" w:hAnsi="Arial" w:cs="Arial"/>
                <w:b/>
                <w:bCs/>
              </w:rPr>
            </w:pPr>
            <w:r w:rsidRPr="0099632B">
              <w:rPr>
                <w:rFonts w:ascii="Arial" w:hAnsi="Arial" w:cs="Arial"/>
                <w:b/>
                <w:bCs/>
              </w:rPr>
              <w:t>% change compared to 2018-19</w:t>
            </w:r>
          </w:p>
        </w:tc>
      </w:tr>
      <w:bookmarkEnd w:id="71"/>
      <w:tr w:rsidR="00EC06C3" w:rsidRPr="0099632B" w14:paraId="02EE6D84" w14:textId="77777777" w:rsidTr="00AB7222">
        <w:trPr>
          <w:trHeight w:val="340"/>
        </w:trPr>
        <w:tc>
          <w:tcPr>
            <w:tcW w:w="1911" w:type="dxa"/>
            <w:shd w:val="clear" w:color="auto" w:fill="E7E6E6" w:themeFill="background2"/>
          </w:tcPr>
          <w:p w14:paraId="67873120" w14:textId="77777777" w:rsidR="00EC06C3" w:rsidRPr="0099632B" w:rsidRDefault="00EC06C3" w:rsidP="00EC06C3">
            <w:pPr>
              <w:rPr>
                <w:rFonts w:ascii="Arial" w:hAnsi="Arial" w:cs="Arial"/>
              </w:rPr>
            </w:pPr>
            <w:r w:rsidRPr="0099632B">
              <w:rPr>
                <w:rFonts w:ascii="Arial" w:hAnsi="Arial" w:cs="Arial"/>
              </w:rPr>
              <w:t>Australia</w:t>
            </w:r>
          </w:p>
        </w:tc>
        <w:tc>
          <w:tcPr>
            <w:tcW w:w="1770" w:type="dxa"/>
          </w:tcPr>
          <w:p w14:paraId="4874777C" w14:textId="39D11A44" w:rsidR="00EC06C3" w:rsidRPr="0099632B" w:rsidRDefault="00EC06C3" w:rsidP="00EC06C3">
            <w:pPr>
              <w:rPr>
                <w:rFonts w:ascii="Arial" w:hAnsi="Arial" w:cs="Arial"/>
              </w:rPr>
            </w:pPr>
            <w:r w:rsidRPr="0099632B">
              <w:rPr>
                <w:rFonts w:ascii="Arial" w:hAnsi="Arial" w:cs="Arial"/>
              </w:rPr>
              <w:t>$</w:t>
            </w:r>
            <w:r w:rsidR="00417523" w:rsidRPr="0099632B">
              <w:rPr>
                <w:rFonts w:ascii="Arial" w:hAnsi="Arial" w:cs="Arial"/>
              </w:rPr>
              <w:t>158</w:t>
            </w:r>
            <w:r w:rsidRPr="0099632B">
              <w:rPr>
                <w:rFonts w:ascii="Arial" w:hAnsi="Arial" w:cs="Arial"/>
              </w:rPr>
              <w:t xml:space="preserve"> billion</w:t>
            </w:r>
          </w:p>
        </w:tc>
        <w:tc>
          <w:tcPr>
            <w:tcW w:w="3260" w:type="dxa"/>
          </w:tcPr>
          <w:p w14:paraId="3718A83D" w14:textId="42BE244D" w:rsidR="00EC06C3" w:rsidRPr="0099632B" w:rsidRDefault="00EC06C3" w:rsidP="00EC06C3">
            <w:pPr>
              <w:rPr>
                <w:rFonts w:ascii="Arial" w:hAnsi="Arial" w:cs="Arial"/>
              </w:rPr>
            </w:pPr>
            <w:r w:rsidRPr="0099632B">
              <w:rPr>
                <w:rFonts w:ascii="Arial" w:hAnsi="Arial" w:cs="Arial"/>
              </w:rPr>
              <w:t xml:space="preserve">Increased </w:t>
            </w:r>
            <w:r w:rsidR="00EA1C24" w:rsidRPr="0099632B">
              <w:rPr>
                <w:rFonts w:ascii="Arial" w:hAnsi="Arial" w:cs="Arial"/>
              </w:rPr>
              <w:t>10</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808" w:type="dxa"/>
          </w:tcPr>
          <w:p w14:paraId="47FAFDFB" w14:textId="6BCDDCF5" w:rsidR="00EC06C3" w:rsidRPr="0099632B" w:rsidRDefault="00EC06C3" w:rsidP="00EC06C3">
            <w:pPr>
              <w:rPr>
                <w:rFonts w:ascii="Arial" w:hAnsi="Arial" w:cs="Arial"/>
              </w:rPr>
            </w:pPr>
            <w:r w:rsidRPr="0099632B">
              <w:rPr>
                <w:rFonts w:ascii="Arial" w:hAnsi="Arial" w:cs="Arial"/>
              </w:rPr>
              <w:t xml:space="preserve">Increased </w:t>
            </w:r>
            <w:r w:rsidR="00EA1C24" w:rsidRPr="0099632B">
              <w:rPr>
                <w:rFonts w:ascii="Arial" w:hAnsi="Arial" w:cs="Arial"/>
              </w:rPr>
              <w:t>27</w:t>
            </w:r>
            <w:r w:rsidRPr="0099632B">
              <w:rPr>
                <w:rFonts w:ascii="Arial" w:hAnsi="Arial" w:cs="Arial"/>
              </w:rPr>
              <w:t xml:space="preserve">% compared to 2018-19 financial year </w:t>
            </w:r>
          </w:p>
        </w:tc>
      </w:tr>
      <w:tr w:rsidR="00E858FF" w:rsidRPr="0099632B" w14:paraId="12FE2A07" w14:textId="77777777" w:rsidTr="00AB7222">
        <w:trPr>
          <w:trHeight w:val="340"/>
        </w:trPr>
        <w:tc>
          <w:tcPr>
            <w:tcW w:w="1911" w:type="dxa"/>
            <w:shd w:val="clear" w:color="auto" w:fill="E7E6E6" w:themeFill="background2"/>
          </w:tcPr>
          <w:p w14:paraId="0FEC0093" w14:textId="77777777" w:rsidR="00E858FF" w:rsidRPr="0099632B" w:rsidRDefault="00E858FF" w:rsidP="00E858FF">
            <w:pPr>
              <w:rPr>
                <w:rFonts w:ascii="Arial" w:hAnsi="Arial" w:cs="Arial"/>
              </w:rPr>
            </w:pPr>
            <w:r w:rsidRPr="0099632B">
              <w:rPr>
                <w:rFonts w:ascii="Arial" w:hAnsi="Arial" w:cs="Arial"/>
              </w:rPr>
              <w:t>Victoria</w:t>
            </w:r>
          </w:p>
        </w:tc>
        <w:tc>
          <w:tcPr>
            <w:tcW w:w="1770" w:type="dxa"/>
          </w:tcPr>
          <w:p w14:paraId="6BDED3E7" w14:textId="49896187" w:rsidR="00E858FF" w:rsidRPr="0099632B" w:rsidRDefault="00E858FF" w:rsidP="00E858FF">
            <w:pPr>
              <w:rPr>
                <w:rFonts w:ascii="Arial" w:hAnsi="Arial" w:cs="Arial"/>
              </w:rPr>
            </w:pPr>
            <w:r w:rsidRPr="0099632B">
              <w:rPr>
                <w:rFonts w:ascii="Arial" w:hAnsi="Arial" w:cs="Arial"/>
              </w:rPr>
              <w:t>$36.0 billion</w:t>
            </w:r>
          </w:p>
        </w:tc>
        <w:tc>
          <w:tcPr>
            <w:tcW w:w="3260" w:type="dxa"/>
          </w:tcPr>
          <w:p w14:paraId="5E744737" w14:textId="44636137" w:rsidR="00E858FF" w:rsidRPr="0099632B" w:rsidRDefault="00E858FF" w:rsidP="00E858FF">
            <w:pPr>
              <w:rPr>
                <w:rFonts w:ascii="Arial" w:hAnsi="Arial" w:cs="Arial"/>
              </w:rPr>
            </w:pPr>
            <w:r w:rsidRPr="0099632B">
              <w:rPr>
                <w:rFonts w:ascii="Arial" w:hAnsi="Arial" w:cs="Arial"/>
              </w:rPr>
              <w:t xml:space="preserve">Increased 13% compared to 2022-23 financial year </w:t>
            </w:r>
          </w:p>
        </w:tc>
        <w:tc>
          <w:tcPr>
            <w:tcW w:w="2808" w:type="dxa"/>
          </w:tcPr>
          <w:p w14:paraId="2DDD0464" w14:textId="5F561FE7" w:rsidR="00E858FF" w:rsidRPr="0099632B" w:rsidRDefault="00E858FF" w:rsidP="00E858FF">
            <w:pPr>
              <w:rPr>
                <w:rFonts w:ascii="Arial" w:hAnsi="Arial" w:cs="Arial"/>
              </w:rPr>
            </w:pPr>
            <w:r w:rsidRPr="0099632B">
              <w:rPr>
                <w:rFonts w:ascii="Arial" w:hAnsi="Arial" w:cs="Arial"/>
              </w:rPr>
              <w:t>Increased 23% compared to 2018-19 financial year</w:t>
            </w:r>
          </w:p>
        </w:tc>
      </w:tr>
      <w:tr w:rsidR="00E858FF" w:rsidRPr="0099632B" w14:paraId="321A141A" w14:textId="77777777" w:rsidTr="00AB7222">
        <w:trPr>
          <w:trHeight w:val="340"/>
        </w:trPr>
        <w:tc>
          <w:tcPr>
            <w:tcW w:w="1911" w:type="dxa"/>
            <w:shd w:val="clear" w:color="auto" w:fill="E7E6E6" w:themeFill="background2"/>
          </w:tcPr>
          <w:p w14:paraId="3B9EFCC6" w14:textId="77777777" w:rsidR="00E858FF" w:rsidRPr="0099632B" w:rsidRDefault="00E858FF" w:rsidP="00E858FF">
            <w:pPr>
              <w:rPr>
                <w:rFonts w:ascii="Arial" w:hAnsi="Arial" w:cs="Arial"/>
              </w:rPr>
            </w:pPr>
            <w:r w:rsidRPr="0099632B">
              <w:rPr>
                <w:rFonts w:ascii="Arial" w:hAnsi="Arial" w:cs="Arial"/>
              </w:rPr>
              <w:t>New South Wales</w:t>
            </w:r>
          </w:p>
        </w:tc>
        <w:tc>
          <w:tcPr>
            <w:tcW w:w="1770" w:type="dxa"/>
          </w:tcPr>
          <w:p w14:paraId="5D54148A" w14:textId="655AB727" w:rsidR="00E858FF" w:rsidRPr="0099632B" w:rsidRDefault="00E858FF" w:rsidP="00E858FF">
            <w:pPr>
              <w:rPr>
                <w:rFonts w:ascii="Arial" w:hAnsi="Arial" w:cs="Arial"/>
              </w:rPr>
            </w:pPr>
            <w:r w:rsidRPr="0099632B">
              <w:rPr>
                <w:rFonts w:ascii="Arial" w:hAnsi="Arial" w:cs="Arial"/>
              </w:rPr>
              <w:t>$48.2 billion</w:t>
            </w:r>
          </w:p>
        </w:tc>
        <w:tc>
          <w:tcPr>
            <w:tcW w:w="3260" w:type="dxa"/>
          </w:tcPr>
          <w:p w14:paraId="7DA4DF73" w14:textId="0376675F" w:rsidR="00E858FF" w:rsidRPr="0099632B" w:rsidRDefault="00E858FF" w:rsidP="00E858FF">
            <w:pPr>
              <w:rPr>
                <w:rFonts w:ascii="Arial" w:hAnsi="Arial" w:cs="Arial"/>
              </w:rPr>
            </w:pPr>
            <w:r w:rsidRPr="0099632B">
              <w:rPr>
                <w:rFonts w:ascii="Arial" w:hAnsi="Arial" w:cs="Arial"/>
              </w:rPr>
              <w:t xml:space="preserve">Increased 13% compared to 2022-23 financial year </w:t>
            </w:r>
          </w:p>
        </w:tc>
        <w:tc>
          <w:tcPr>
            <w:tcW w:w="2808" w:type="dxa"/>
          </w:tcPr>
          <w:p w14:paraId="391D3F81" w14:textId="59BD6CA7" w:rsidR="00E858FF" w:rsidRPr="0099632B" w:rsidRDefault="00E858FF" w:rsidP="00E858FF">
            <w:pPr>
              <w:rPr>
                <w:rFonts w:ascii="Arial" w:hAnsi="Arial" w:cs="Arial"/>
              </w:rPr>
            </w:pPr>
            <w:r w:rsidRPr="0099632B">
              <w:rPr>
                <w:rFonts w:ascii="Arial" w:hAnsi="Arial" w:cs="Arial"/>
              </w:rPr>
              <w:t xml:space="preserve">Increased 26% compared to 2018-19 financial year </w:t>
            </w:r>
          </w:p>
        </w:tc>
      </w:tr>
      <w:tr w:rsidR="00E858FF" w:rsidRPr="0099632B" w14:paraId="2D9EE5A7" w14:textId="77777777" w:rsidTr="00AB7222">
        <w:trPr>
          <w:trHeight w:val="340"/>
        </w:trPr>
        <w:tc>
          <w:tcPr>
            <w:tcW w:w="1911" w:type="dxa"/>
            <w:shd w:val="clear" w:color="auto" w:fill="E7E6E6" w:themeFill="background2"/>
          </w:tcPr>
          <w:p w14:paraId="2D81F3ED" w14:textId="77777777" w:rsidR="00E858FF" w:rsidRPr="0099632B" w:rsidRDefault="00E858FF" w:rsidP="00E858FF">
            <w:pPr>
              <w:rPr>
                <w:rFonts w:ascii="Arial" w:hAnsi="Arial" w:cs="Arial"/>
              </w:rPr>
            </w:pPr>
            <w:r w:rsidRPr="0099632B">
              <w:rPr>
                <w:rFonts w:ascii="Arial" w:hAnsi="Arial" w:cs="Arial"/>
              </w:rPr>
              <w:t>Queensland</w:t>
            </w:r>
          </w:p>
        </w:tc>
        <w:tc>
          <w:tcPr>
            <w:tcW w:w="1770" w:type="dxa"/>
          </w:tcPr>
          <w:p w14:paraId="6D7793B3" w14:textId="52C87BA6" w:rsidR="00E858FF" w:rsidRPr="0099632B" w:rsidRDefault="00E858FF" w:rsidP="00E858FF">
            <w:pPr>
              <w:rPr>
                <w:rFonts w:ascii="Arial" w:hAnsi="Arial" w:cs="Arial"/>
              </w:rPr>
            </w:pPr>
            <w:r w:rsidRPr="0099632B">
              <w:rPr>
                <w:rFonts w:ascii="Arial" w:hAnsi="Arial" w:cs="Arial"/>
              </w:rPr>
              <w:t>$37.6 billion</w:t>
            </w:r>
          </w:p>
        </w:tc>
        <w:tc>
          <w:tcPr>
            <w:tcW w:w="3260" w:type="dxa"/>
          </w:tcPr>
          <w:p w14:paraId="1F6A3A9B" w14:textId="6BA5EE0A" w:rsidR="00E858FF" w:rsidRPr="0099632B" w:rsidRDefault="00E858FF" w:rsidP="00E858FF">
            <w:pPr>
              <w:rPr>
                <w:rFonts w:ascii="Arial" w:hAnsi="Arial" w:cs="Arial"/>
              </w:rPr>
            </w:pPr>
            <w:r w:rsidRPr="0099632B">
              <w:rPr>
                <w:rFonts w:ascii="Arial" w:hAnsi="Arial" w:cs="Arial"/>
              </w:rPr>
              <w:t xml:space="preserve">Increased 6% compared to 2022-23 financial year </w:t>
            </w:r>
          </w:p>
        </w:tc>
        <w:tc>
          <w:tcPr>
            <w:tcW w:w="2808" w:type="dxa"/>
          </w:tcPr>
          <w:p w14:paraId="49571A75" w14:textId="0CD6152B" w:rsidR="00E858FF" w:rsidRPr="0099632B" w:rsidRDefault="00E858FF" w:rsidP="00E858FF">
            <w:pPr>
              <w:rPr>
                <w:rFonts w:ascii="Arial" w:hAnsi="Arial" w:cs="Arial"/>
              </w:rPr>
            </w:pPr>
            <w:r w:rsidRPr="0099632B">
              <w:rPr>
                <w:rFonts w:ascii="Arial" w:hAnsi="Arial" w:cs="Arial"/>
              </w:rPr>
              <w:t xml:space="preserve">Increased 33% compared to 2018-19 financial year </w:t>
            </w:r>
          </w:p>
        </w:tc>
      </w:tr>
      <w:tr w:rsidR="00E858FF" w:rsidRPr="0099632B" w14:paraId="3D6D8A03" w14:textId="77777777" w:rsidTr="00AB7222">
        <w:trPr>
          <w:trHeight w:val="340"/>
        </w:trPr>
        <w:tc>
          <w:tcPr>
            <w:tcW w:w="1911" w:type="dxa"/>
            <w:shd w:val="clear" w:color="auto" w:fill="E7E6E6" w:themeFill="background2"/>
          </w:tcPr>
          <w:p w14:paraId="43DD07C4" w14:textId="77777777" w:rsidR="00E858FF" w:rsidRPr="0099632B" w:rsidRDefault="00E858FF" w:rsidP="00E858FF">
            <w:pPr>
              <w:rPr>
                <w:rFonts w:ascii="Arial" w:hAnsi="Arial" w:cs="Arial"/>
              </w:rPr>
            </w:pPr>
            <w:r w:rsidRPr="0099632B">
              <w:rPr>
                <w:rFonts w:ascii="Arial" w:hAnsi="Arial" w:cs="Arial"/>
              </w:rPr>
              <w:t>South Australia</w:t>
            </w:r>
          </w:p>
        </w:tc>
        <w:tc>
          <w:tcPr>
            <w:tcW w:w="1770" w:type="dxa"/>
          </w:tcPr>
          <w:p w14:paraId="117FCAB7" w14:textId="5AAB6A51" w:rsidR="00E858FF" w:rsidRPr="0099632B" w:rsidRDefault="00E858FF" w:rsidP="00E858FF">
            <w:pPr>
              <w:rPr>
                <w:rFonts w:ascii="Arial" w:hAnsi="Arial" w:cs="Arial"/>
              </w:rPr>
            </w:pPr>
            <w:r w:rsidRPr="0099632B">
              <w:rPr>
                <w:rFonts w:ascii="Arial" w:hAnsi="Arial" w:cs="Arial"/>
              </w:rPr>
              <w:t>$9.5 billion</w:t>
            </w:r>
          </w:p>
        </w:tc>
        <w:tc>
          <w:tcPr>
            <w:tcW w:w="3260" w:type="dxa"/>
          </w:tcPr>
          <w:p w14:paraId="6E908028" w14:textId="2E03E798" w:rsidR="00E858FF" w:rsidRPr="0099632B" w:rsidRDefault="00E858FF" w:rsidP="00E858FF">
            <w:pPr>
              <w:rPr>
                <w:rFonts w:ascii="Arial" w:hAnsi="Arial" w:cs="Arial"/>
              </w:rPr>
            </w:pPr>
            <w:r w:rsidRPr="0099632B">
              <w:rPr>
                <w:rFonts w:ascii="Arial" w:hAnsi="Arial" w:cs="Arial"/>
              </w:rPr>
              <w:t xml:space="preserve">Increased 2% compared to 2022-23 financial year </w:t>
            </w:r>
          </w:p>
        </w:tc>
        <w:tc>
          <w:tcPr>
            <w:tcW w:w="2808" w:type="dxa"/>
          </w:tcPr>
          <w:p w14:paraId="389168C8" w14:textId="0F61B570" w:rsidR="00E858FF" w:rsidRPr="0099632B" w:rsidRDefault="00E858FF" w:rsidP="00E858FF">
            <w:pPr>
              <w:rPr>
                <w:rFonts w:ascii="Arial" w:hAnsi="Arial" w:cs="Arial"/>
              </w:rPr>
            </w:pPr>
            <w:r w:rsidRPr="0099632B">
              <w:rPr>
                <w:rFonts w:ascii="Arial" w:hAnsi="Arial" w:cs="Arial"/>
              </w:rPr>
              <w:t xml:space="preserve">Increased 22% compared to 2018-19 financial year </w:t>
            </w:r>
          </w:p>
        </w:tc>
      </w:tr>
      <w:tr w:rsidR="00E858FF" w:rsidRPr="0099632B" w14:paraId="42B9C129" w14:textId="77777777" w:rsidTr="00AB7222">
        <w:trPr>
          <w:trHeight w:val="340"/>
        </w:trPr>
        <w:tc>
          <w:tcPr>
            <w:tcW w:w="1911" w:type="dxa"/>
            <w:shd w:val="clear" w:color="auto" w:fill="E7E6E6" w:themeFill="background2"/>
          </w:tcPr>
          <w:p w14:paraId="2E546843" w14:textId="77777777" w:rsidR="00E858FF" w:rsidRPr="0099632B" w:rsidRDefault="00E858FF" w:rsidP="00E858FF">
            <w:pPr>
              <w:rPr>
                <w:rFonts w:ascii="Arial" w:hAnsi="Arial" w:cs="Arial"/>
              </w:rPr>
            </w:pPr>
            <w:r w:rsidRPr="0099632B">
              <w:rPr>
                <w:rFonts w:ascii="Arial" w:hAnsi="Arial" w:cs="Arial"/>
              </w:rPr>
              <w:t>Western Australia</w:t>
            </w:r>
          </w:p>
        </w:tc>
        <w:tc>
          <w:tcPr>
            <w:tcW w:w="1770" w:type="dxa"/>
          </w:tcPr>
          <w:p w14:paraId="77309DA4" w14:textId="7DDE965F" w:rsidR="00E858FF" w:rsidRPr="0099632B" w:rsidRDefault="00E858FF" w:rsidP="00E858FF">
            <w:pPr>
              <w:rPr>
                <w:rFonts w:ascii="Arial" w:hAnsi="Arial" w:cs="Arial"/>
              </w:rPr>
            </w:pPr>
            <w:r w:rsidRPr="0099632B">
              <w:rPr>
                <w:rFonts w:ascii="Arial" w:hAnsi="Arial" w:cs="Arial"/>
              </w:rPr>
              <w:t>$15.9 billion</w:t>
            </w:r>
          </w:p>
        </w:tc>
        <w:tc>
          <w:tcPr>
            <w:tcW w:w="3260" w:type="dxa"/>
          </w:tcPr>
          <w:p w14:paraId="1F1C8B79" w14:textId="1B0F1DCF" w:rsidR="00E858FF" w:rsidRPr="0099632B" w:rsidRDefault="00E858FF" w:rsidP="00E858FF">
            <w:pPr>
              <w:rPr>
                <w:rFonts w:ascii="Arial" w:hAnsi="Arial" w:cs="Arial"/>
              </w:rPr>
            </w:pPr>
            <w:r w:rsidRPr="0099632B">
              <w:rPr>
                <w:rFonts w:ascii="Arial" w:hAnsi="Arial" w:cs="Arial"/>
              </w:rPr>
              <w:t xml:space="preserve">Increased 8% compared to 2022-23 financial year </w:t>
            </w:r>
          </w:p>
        </w:tc>
        <w:tc>
          <w:tcPr>
            <w:tcW w:w="2808" w:type="dxa"/>
          </w:tcPr>
          <w:p w14:paraId="251F7434" w14:textId="46C6D97E" w:rsidR="00E858FF" w:rsidRPr="0099632B" w:rsidRDefault="00E858FF" w:rsidP="00E858FF">
            <w:pPr>
              <w:rPr>
                <w:rFonts w:ascii="Arial" w:hAnsi="Arial" w:cs="Arial"/>
              </w:rPr>
            </w:pPr>
            <w:r w:rsidRPr="0099632B">
              <w:rPr>
                <w:rFonts w:ascii="Arial" w:hAnsi="Arial" w:cs="Arial"/>
              </w:rPr>
              <w:t xml:space="preserve">Increased 29% compared to 2018-19 financial year </w:t>
            </w:r>
          </w:p>
        </w:tc>
      </w:tr>
      <w:tr w:rsidR="00E858FF" w:rsidRPr="0099632B" w14:paraId="6C85B893" w14:textId="77777777" w:rsidTr="00AB7222">
        <w:trPr>
          <w:trHeight w:val="340"/>
        </w:trPr>
        <w:tc>
          <w:tcPr>
            <w:tcW w:w="1911" w:type="dxa"/>
            <w:shd w:val="clear" w:color="auto" w:fill="E7E6E6" w:themeFill="background2"/>
          </w:tcPr>
          <w:p w14:paraId="6B342CAA" w14:textId="77777777" w:rsidR="00E858FF" w:rsidRPr="0099632B" w:rsidRDefault="00E858FF" w:rsidP="00E858FF">
            <w:pPr>
              <w:rPr>
                <w:rFonts w:ascii="Arial" w:hAnsi="Arial" w:cs="Arial"/>
              </w:rPr>
            </w:pPr>
            <w:r w:rsidRPr="0099632B">
              <w:rPr>
                <w:rFonts w:ascii="Arial" w:hAnsi="Arial" w:cs="Arial"/>
              </w:rPr>
              <w:t>Tasmania</w:t>
            </w:r>
          </w:p>
        </w:tc>
        <w:tc>
          <w:tcPr>
            <w:tcW w:w="1770" w:type="dxa"/>
          </w:tcPr>
          <w:p w14:paraId="4BA26FBE" w14:textId="0EC4EF45" w:rsidR="00E858FF" w:rsidRPr="0099632B" w:rsidRDefault="00E858FF" w:rsidP="00E858FF">
            <w:pPr>
              <w:rPr>
                <w:rFonts w:ascii="Arial" w:hAnsi="Arial" w:cs="Arial"/>
              </w:rPr>
            </w:pPr>
            <w:r w:rsidRPr="0099632B">
              <w:rPr>
                <w:rFonts w:ascii="Arial" w:hAnsi="Arial" w:cs="Arial"/>
              </w:rPr>
              <w:t>$4.5 billion</w:t>
            </w:r>
          </w:p>
        </w:tc>
        <w:tc>
          <w:tcPr>
            <w:tcW w:w="3260" w:type="dxa"/>
          </w:tcPr>
          <w:p w14:paraId="31A59AC6" w14:textId="00BC45BE" w:rsidR="00E858FF" w:rsidRPr="0099632B" w:rsidRDefault="00E858FF" w:rsidP="00E858FF">
            <w:pPr>
              <w:rPr>
                <w:rFonts w:ascii="Arial" w:hAnsi="Arial" w:cs="Arial"/>
              </w:rPr>
            </w:pPr>
            <w:r w:rsidRPr="0099632B">
              <w:rPr>
                <w:rFonts w:ascii="Arial" w:hAnsi="Arial" w:cs="Arial"/>
              </w:rPr>
              <w:t xml:space="preserve">Increased 15% compared to 2022-23 financial year </w:t>
            </w:r>
          </w:p>
        </w:tc>
        <w:tc>
          <w:tcPr>
            <w:tcW w:w="2808" w:type="dxa"/>
          </w:tcPr>
          <w:p w14:paraId="392F7419" w14:textId="73C55D11" w:rsidR="00E858FF" w:rsidRPr="0099632B" w:rsidRDefault="00E858FF" w:rsidP="00E858FF">
            <w:pPr>
              <w:rPr>
                <w:rFonts w:ascii="Arial" w:hAnsi="Arial" w:cs="Arial"/>
              </w:rPr>
            </w:pPr>
            <w:r w:rsidRPr="0099632B">
              <w:rPr>
                <w:rFonts w:ascii="Arial" w:hAnsi="Arial" w:cs="Arial"/>
              </w:rPr>
              <w:t>Increased 23% compared to 2018-19 financial year</w:t>
            </w:r>
          </w:p>
        </w:tc>
      </w:tr>
      <w:tr w:rsidR="00E858FF" w:rsidRPr="0099632B" w14:paraId="792602FD" w14:textId="77777777" w:rsidTr="00AB7222">
        <w:trPr>
          <w:trHeight w:val="340"/>
        </w:trPr>
        <w:tc>
          <w:tcPr>
            <w:tcW w:w="1911" w:type="dxa"/>
            <w:shd w:val="clear" w:color="auto" w:fill="E7E6E6" w:themeFill="background2"/>
          </w:tcPr>
          <w:p w14:paraId="6106C2E8" w14:textId="77777777" w:rsidR="00E858FF" w:rsidRPr="0099632B" w:rsidRDefault="00E858FF" w:rsidP="00E858FF">
            <w:pPr>
              <w:rPr>
                <w:rFonts w:ascii="Arial" w:hAnsi="Arial" w:cs="Arial"/>
              </w:rPr>
            </w:pPr>
            <w:r w:rsidRPr="0099632B">
              <w:rPr>
                <w:rFonts w:ascii="Arial" w:hAnsi="Arial" w:cs="Arial"/>
              </w:rPr>
              <w:t>Northern Territory</w:t>
            </w:r>
          </w:p>
        </w:tc>
        <w:tc>
          <w:tcPr>
            <w:tcW w:w="1770" w:type="dxa"/>
          </w:tcPr>
          <w:p w14:paraId="5B702083" w14:textId="2BC71267" w:rsidR="00E858FF" w:rsidRPr="0099632B" w:rsidRDefault="00E858FF" w:rsidP="00E858FF">
            <w:pPr>
              <w:rPr>
                <w:rFonts w:ascii="Arial" w:hAnsi="Arial" w:cs="Arial"/>
              </w:rPr>
            </w:pPr>
            <w:r w:rsidRPr="0099632B">
              <w:rPr>
                <w:rFonts w:ascii="Arial" w:hAnsi="Arial" w:cs="Arial"/>
              </w:rPr>
              <w:t>$3.0 billion</w:t>
            </w:r>
          </w:p>
        </w:tc>
        <w:tc>
          <w:tcPr>
            <w:tcW w:w="3260" w:type="dxa"/>
          </w:tcPr>
          <w:p w14:paraId="779C2072" w14:textId="205AEBF7" w:rsidR="00E858FF" w:rsidRPr="0099632B" w:rsidRDefault="00E858FF" w:rsidP="00E858FF">
            <w:pPr>
              <w:rPr>
                <w:rFonts w:ascii="Arial" w:hAnsi="Arial" w:cs="Arial"/>
              </w:rPr>
            </w:pPr>
            <w:r w:rsidRPr="0099632B">
              <w:rPr>
                <w:rFonts w:ascii="Arial" w:hAnsi="Arial" w:cs="Arial"/>
              </w:rPr>
              <w:t xml:space="preserve">Increased 7% compared to 2022-23 financial year </w:t>
            </w:r>
          </w:p>
        </w:tc>
        <w:tc>
          <w:tcPr>
            <w:tcW w:w="2808" w:type="dxa"/>
          </w:tcPr>
          <w:p w14:paraId="3B95B3F8" w14:textId="393FE8FE" w:rsidR="00E858FF" w:rsidRPr="0099632B" w:rsidRDefault="00E858FF" w:rsidP="00E858FF">
            <w:pPr>
              <w:rPr>
                <w:rFonts w:ascii="Arial" w:hAnsi="Arial" w:cs="Arial"/>
              </w:rPr>
            </w:pPr>
            <w:r w:rsidRPr="0099632B">
              <w:rPr>
                <w:rFonts w:ascii="Arial" w:hAnsi="Arial" w:cs="Arial"/>
              </w:rPr>
              <w:t xml:space="preserve">Increased 19% compared to 2018-19 financial year </w:t>
            </w:r>
          </w:p>
        </w:tc>
      </w:tr>
      <w:tr w:rsidR="00E858FF" w:rsidRPr="0099632B" w14:paraId="18B5E430" w14:textId="77777777" w:rsidTr="00AB7222">
        <w:trPr>
          <w:trHeight w:val="340"/>
        </w:trPr>
        <w:tc>
          <w:tcPr>
            <w:tcW w:w="1911" w:type="dxa"/>
            <w:shd w:val="clear" w:color="auto" w:fill="E7E6E6" w:themeFill="background2"/>
          </w:tcPr>
          <w:p w14:paraId="424D9234" w14:textId="4E1A939A" w:rsidR="00E858FF" w:rsidRPr="0099632B" w:rsidRDefault="0099632B" w:rsidP="00E858FF">
            <w:pPr>
              <w:rPr>
                <w:rFonts w:ascii="Arial" w:hAnsi="Arial" w:cs="Arial"/>
              </w:rPr>
            </w:pPr>
            <w:r w:rsidRPr="0099632B">
              <w:rPr>
                <w:rFonts w:ascii="Arial" w:hAnsi="Arial" w:cs="Arial"/>
              </w:rPr>
              <w:t>Australian Capital Territory</w:t>
            </w:r>
          </w:p>
        </w:tc>
        <w:tc>
          <w:tcPr>
            <w:tcW w:w="1770" w:type="dxa"/>
          </w:tcPr>
          <w:p w14:paraId="34EEBD1E" w14:textId="6AEA523E" w:rsidR="00E858FF" w:rsidRPr="0099632B" w:rsidRDefault="00E858FF" w:rsidP="00E858FF">
            <w:pPr>
              <w:rPr>
                <w:rFonts w:ascii="Arial" w:hAnsi="Arial" w:cs="Arial"/>
              </w:rPr>
            </w:pPr>
            <w:r w:rsidRPr="0099632B">
              <w:rPr>
                <w:rFonts w:ascii="Arial" w:hAnsi="Arial" w:cs="Arial"/>
              </w:rPr>
              <w:t>$3.2 billion</w:t>
            </w:r>
          </w:p>
        </w:tc>
        <w:tc>
          <w:tcPr>
            <w:tcW w:w="3260" w:type="dxa"/>
          </w:tcPr>
          <w:p w14:paraId="45D9F4C6" w14:textId="3A3DF4C5" w:rsidR="00E858FF" w:rsidRPr="0099632B" w:rsidRDefault="00E858FF" w:rsidP="00E858FF">
            <w:pPr>
              <w:rPr>
                <w:rFonts w:ascii="Arial" w:hAnsi="Arial" w:cs="Arial"/>
              </w:rPr>
            </w:pPr>
            <w:r w:rsidRPr="0099632B">
              <w:rPr>
                <w:rFonts w:ascii="Arial" w:hAnsi="Arial" w:cs="Arial"/>
              </w:rPr>
              <w:t xml:space="preserve">Increased 6% compared to 2022-23 financial year </w:t>
            </w:r>
          </w:p>
        </w:tc>
        <w:tc>
          <w:tcPr>
            <w:tcW w:w="2808" w:type="dxa"/>
          </w:tcPr>
          <w:p w14:paraId="559037B4" w14:textId="1111FF93" w:rsidR="00E858FF" w:rsidRPr="0099632B" w:rsidRDefault="00E858FF" w:rsidP="00E858FF">
            <w:pPr>
              <w:rPr>
                <w:rFonts w:ascii="Arial" w:hAnsi="Arial" w:cs="Arial"/>
              </w:rPr>
            </w:pPr>
            <w:r w:rsidRPr="0099632B">
              <w:rPr>
                <w:rFonts w:ascii="Arial" w:hAnsi="Arial" w:cs="Arial"/>
              </w:rPr>
              <w:t xml:space="preserve">Increased 28% compared to 2018-19 financial year </w:t>
            </w:r>
          </w:p>
        </w:tc>
      </w:tr>
    </w:tbl>
    <w:p w14:paraId="6BE6A522" w14:textId="77777777" w:rsidR="00916B94" w:rsidRPr="0099632B" w:rsidRDefault="00916B94" w:rsidP="00BC556B">
      <w:pPr>
        <w:pStyle w:val="NoSpacing"/>
        <w:rPr>
          <w:rFonts w:ascii="Arial" w:hAnsi="Arial" w:cs="Arial"/>
        </w:rPr>
      </w:pPr>
    </w:p>
    <w:p w14:paraId="020F2F10" w14:textId="4DAF8E3B" w:rsidR="00EB4A20" w:rsidRPr="00B82E1F" w:rsidRDefault="00C43065" w:rsidP="00313271">
      <w:pPr>
        <w:pStyle w:val="Heading3"/>
        <w:spacing w:after="120"/>
        <w:rPr>
          <w:rFonts w:ascii="Arial" w:eastAsiaTheme="minorHAnsi" w:hAnsi="Arial" w:cs="Arial"/>
          <w:color w:val="002060"/>
        </w:rPr>
      </w:pPr>
      <w:r w:rsidRPr="0099632B">
        <w:rPr>
          <w:rFonts w:ascii="Arial" w:eastAsiaTheme="minorHAnsi" w:hAnsi="Arial" w:cs="Arial"/>
          <w:color w:val="002060"/>
        </w:rPr>
        <w:t xml:space="preserve">9.4.2 </w:t>
      </w:r>
      <w:r w:rsidR="00EB4A20" w:rsidRPr="0099632B">
        <w:rPr>
          <w:rFonts w:ascii="Arial" w:eastAsiaTheme="minorHAnsi" w:hAnsi="Arial" w:cs="Arial"/>
          <w:color w:val="002060"/>
        </w:rPr>
        <w:t xml:space="preserve">Summary of tourism’s contribution to Gross </w:t>
      </w:r>
      <w:r w:rsidR="00660E8C" w:rsidRPr="0099632B">
        <w:rPr>
          <w:rFonts w:ascii="Arial" w:eastAsiaTheme="minorHAnsi" w:hAnsi="Arial" w:cs="Arial"/>
          <w:color w:val="002060"/>
        </w:rPr>
        <w:t>Value Added (GVA)</w:t>
      </w:r>
      <w:r w:rsidR="00EB4A20" w:rsidRPr="0099632B">
        <w:rPr>
          <w:rFonts w:ascii="Arial" w:eastAsiaTheme="minorHAnsi" w:hAnsi="Arial" w:cs="Arial"/>
          <w:color w:val="002060"/>
        </w:rPr>
        <w:t xml:space="preserve"> in each state/ territory and </w:t>
      </w:r>
      <w:r w:rsidR="000E2A50" w:rsidRPr="0099632B">
        <w:rPr>
          <w:rFonts w:ascii="Arial" w:eastAsiaTheme="minorHAnsi" w:hAnsi="Arial" w:cs="Arial"/>
          <w:color w:val="002060"/>
        </w:rPr>
        <w:t xml:space="preserve">percentage </w:t>
      </w:r>
      <w:r w:rsidR="00EB4A20" w:rsidRPr="0099632B">
        <w:rPr>
          <w:rFonts w:ascii="Arial" w:eastAsiaTheme="minorHAnsi" w:hAnsi="Arial" w:cs="Arial"/>
          <w:color w:val="002060"/>
        </w:rPr>
        <w:t>change compared to previous financial years</w:t>
      </w:r>
      <w:r w:rsidR="00EB4A20" w:rsidRPr="00B82E1F">
        <w:rPr>
          <w:rFonts w:ascii="Arial" w:eastAsiaTheme="minorHAnsi" w:hAnsi="Arial" w:cs="Arial"/>
          <w:color w:val="002060"/>
        </w:rPr>
        <w:t xml:space="preserve"> </w:t>
      </w:r>
    </w:p>
    <w:tbl>
      <w:tblPr>
        <w:tblStyle w:val="TableGrid"/>
        <w:tblpPr w:leftFromText="180" w:rightFromText="180" w:vertAnchor="text" w:horzAnchor="margin" w:tblpY="52"/>
        <w:tblW w:w="9749" w:type="dxa"/>
        <w:tblLook w:val="04A0" w:firstRow="1" w:lastRow="0" w:firstColumn="1" w:lastColumn="0" w:noHBand="0" w:noVBand="1"/>
      </w:tblPr>
      <w:tblGrid>
        <w:gridCol w:w="1911"/>
        <w:gridCol w:w="1770"/>
        <w:gridCol w:w="3118"/>
        <w:gridCol w:w="2950"/>
      </w:tblGrid>
      <w:tr w:rsidR="00EB4A20" w:rsidRPr="0099632B" w14:paraId="2BD1AE77" w14:textId="77777777" w:rsidTr="00AB7222">
        <w:trPr>
          <w:trHeight w:val="340"/>
          <w:tblHeader/>
        </w:trPr>
        <w:tc>
          <w:tcPr>
            <w:tcW w:w="1911" w:type="dxa"/>
            <w:tcBorders>
              <w:bottom w:val="nil"/>
            </w:tcBorders>
            <w:shd w:val="clear" w:color="auto" w:fill="E7E6E6" w:themeFill="background2"/>
          </w:tcPr>
          <w:p w14:paraId="1B8D1A9C" w14:textId="77777777" w:rsidR="00EB4A20" w:rsidRPr="0099632B" w:rsidRDefault="00EB4A20" w:rsidP="004A110B">
            <w:pPr>
              <w:rPr>
                <w:rFonts w:ascii="Arial" w:hAnsi="Arial" w:cs="Arial"/>
                <w:b/>
                <w:bCs/>
              </w:rPr>
            </w:pPr>
            <w:bookmarkStart w:id="72" w:name="Title_27" w:colFirst="0" w:colLast="0"/>
            <w:r w:rsidRPr="0099632B">
              <w:rPr>
                <w:rFonts w:ascii="Arial" w:hAnsi="Arial" w:cs="Arial"/>
                <w:b/>
                <w:bCs/>
              </w:rPr>
              <w:t>State/ territory</w:t>
            </w:r>
          </w:p>
        </w:tc>
        <w:tc>
          <w:tcPr>
            <w:tcW w:w="1770" w:type="dxa"/>
            <w:tcBorders>
              <w:bottom w:val="nil"/>
            </w:tcBorders>
            <w:shd w:val="clear" w:color="auto" w:fill="E7E6E6" w:themeFill="background2"/>
          </w:tcPr>
          <w:p w14:paraId="0F428315" w14:textId="52D97055" w:rsidR="00EB4A20" w:rsidRPr="0099632B" w:rsidRDefault="00EB4A20" w:rsidP="004A110B">
            <w:pPr>
              <w:rPr>
                <w:rFonts w:ascii="Arial" w:hAnsi="Arial" w:cs="Arial"/>
                <w:b/>
                <w:bCs/>
              </w:rPr>
            </w:pPr>
            <w:r w:rsidRPr="0099632B">
              <w:rPr>
                <w:rFonts w:ascii="Arial" w:hAnsi="Arial" w:cs="Arial"/>
                <w:b/>
                <w:bCs/>
              </w:rPr>
              <w:t xml:space="preserve">Total </w:t>
            </w:r>
            <w:r w:rsidR="00660E8C" w:rsidRPr="0099632B">
              <w:rPr>
                <w:rFonts w:ascii="Arial" w:hAnsi="Arial" w:cs="Arial"/>
                <w:b/>
                <w:bCs/>
              </w:rPr>
              <w:t>GVA</w:t>
            </w:r>
          </w:p>
        </w:tc>
        <w:tc>
          <w:tcPr>
            <w:tcW w:w="3118" w:type="dxa"/>
            <w:tcBorders>
              <w:bottom w:val="nil"/>
            </w:tcBorders>
            <w:shd w:val="clear" w:color="auto" w:fill="E7E6E6" w:themeFill="background2"/>
          </w:tcPr>
          <w:p w14:paraId="05AB6DC9" w14:textId="272EBC7B" w:rsidR="00EB4A20" w:rsidRPr="0099632B" w:rsidRDefault="00EB4A20" w:rsidP="004A110B">
            <w:pPr>
              <w:rPr>
                <w:rFonts w:ascii="Arial" w:hAnsi="Arial" w:cs="Arial"/>
                <w:b/>
                <w:bCs/>
              </w:rPr>
            </w:pPr>
            <w:r w:rsidRPr="0099632B">
              <w:rPr>
                <w:rFonts w:ascii="Arial" w:hAnsi="Arial" w:cs="Arial"/>
                <w:b/>
                <w:bCs/>
                <w:sz w:val="20"/>
                <w:szCs w:val="20"/>
              </w:rPr>
              <w:t xml:space="preserve">Year-on year change </w:t>
            </w:r>
            <w:r w:rsidR="001111CF" w:rsidRPr="0099632B">
              <w:rPr>
                <w:rFonts w:ascii="Arial" w:hAnsi="Arial" w:cs="Arial"/>
                <w:b/>
                <w:bCs/>
                <w:sz w:val="20"/>
                <w:szCs w:val="20"/>
              </w:rPr>
              <w:t>2022-23</w:t>
            </w:r>
            <w:r w:rsidR="006647BD" w:rsidRPr="0099632B">
              <w:rPr>
                <w:rFonts w:ascii="Arial" w:hAnsi="Arial" w:cs="Arial"/>
                <w:b/>
                <w:bCs/>
                <w:sz w:val="20"/>
                <w:szCs w:val="20"/>
              </w:rPr>
              <w:t xml:space="preserve"> to </w:t>
            </w:r>
            <w:r w:rsidR="00087CA3" w:rsidRPr="0099632B">
              <w:rPr>
                <w:rFonts w:ascii="Arial" w:hAnsi="Arial" w:cs="Arial"/>
                <w:b/>
                <w:bCs/>
                <w:sz w:val="20"/>
                <w:szCs w:val="20"/>
              </w:rPr>
              <w:t>2023-24</w:t>
            </w:r>
          </w:p>
        </w:tc>
        <w:tc>
          <w:tcPr>
            <w:tcW w:w="2950" w:type="dxa"/>
            <w:tcBorders>
              <w:bottom w:val="nil"/>
            </w:tcBorders>
            <w:shd w:val="clear" w:color="auto" w:fill="E7E6E6" w:themeFill="background2"/>
          </w:tcPr>
          <w:p w14:paraId="1C9F717E" w14:textId="77777777" w:rsidR="00EB4A20" w:rsidRPr="0099632B" w:rsidRDefault="00EB4A20" w:rsidP="004A110B">
            <w:pPr>
              <w:rPr>
                <w:rFonts w:ascii="Arial" w:hAnsi="Arial" w:cs="Arial"/>
                <w:b/>
                <w:bCs/>
              </w:rPr>
            </w:pPr>
            <w:r w:rsidRPr="0099632B">
              <w:rPr>
                <w:rFonts w:ascii="Arial" w:hAnsi="Arial" w:cs="Arial"/>
                <w:b/>
                <w:bCs/>
              </w:rPr>
              <w:t>% change compared to 2018-19</w:t>
            </w:r>
          </w:p>
        </w:tc>
      </w:tr>
      <w:bookmarkEnd w:id="72"/>
      <w:tr w:rsidR="006209AB" w:rsidRPr="0099632B" w14:paraId="0232C402" w14:textId="77777777" w:rsidTr="00AB7222">
        <w:trPr>
          <w:trHeight w:val="340"/>
        </w:trPr>
        <w:tc>
          <w:tcPr>
            <w:tcW w:w="1911" w:type="dxa"/>
            <w:shd w:val="clear" w:color="auto" w:fill="E7E6E6" w:themeFill="background2"/>
          </w:tcPr>
          <w:p w14:paraId="261ECDD8" w14:textId="77777777" w:rsidR="006209AB" w:rsidRPr="0099632B" w:rsidRDefault="006209AB" w:rsidP="006209AB">
            <w:pPr>
              <w:rPr>
                <w:rFonts w:ascii="Arial" w:hAnsi="Arial" w:cs="Arial"/>
              </w:rPr>
            </w:pPr>
            <w:r w:rsidRPr="0099632B">
              <w:rPr>
                <w:rFonts w:ascii="Arial" w:hAnsi="Arial" w:cs="Arial"/>
              </w:rPr>
              <w:t>Australia</w:t>
            </w:r>
          </w:p>
        </w:tc>
        <w:tc>
          <w:tcPr>
            <w:tcW w:w="1770" w:type="dxa"/>
          </w:tcPr>
          <w:p w14:paraId="06CB9D4E" w14:textId="48BB34F2" w:rsidR="006209AB" w:rsidRPr="0099632B" w:rsidRDefault="006209AB" w:rsidP="006209AB">
            <w:pPr>
              <w:rPr>
                <w:rFonts w:ascii="Arial" w:hAnsi="Arial" w:cs="Arial"/>
              </w:rPr>
            </w:pPr>
            <w:r w:rsidRPr="0099632B">
              <w:rPr>
                <w:rFonts w:ascii="Arial" w:hAnsi="Arial" w:cs="Arial"/>
              </w:rPr>
              <w:t>$</w:t>
            </w:r>
            <w:r w:rsidR="00E858FF" w:rsidRPr="0099632B">
              <w:rPr>
                <w:rFonts w:ascii="Arial" w:hAnsi="Arial" w:cs="Arial"/>
              </w:rPr>
              <w:t>136.5</w:t>
            </w:r>
            <w:r w:rsidRPr="0099632B">
              <w:rPr>
                <w:rFonts w:ascii="Arial" w:hAnsi="Arial" w:cs="Arial"/>
              </w:rPr>
              <w:t xml:space="preserve"> billion</w:t>
            </w:r>
          </w:p>
        </w:tc>
        <w:tc>
          <w:tcPr>
            <w:tcW w:w="3118" w:type="dxa"/>
          </w:tcPr>
          <w:p w14:paraId="4C5E77E7" w14:textId="7DCBEDD9" w:rsidR="006209AB" w:rsidRPr="0099632B" w:rsidRDefault="006209AB" w:rsidP="006209AB">
            <w:pPr>
              <w:rPr>
                <w:rFonts w:ascii="Arial" w:hAnsi="Arial" w:cs="Arial"/>
              </w:rPr>
            </w:pPr>
            <w:r w:rsidRPr="0099632B">
              <w:rPr>
                <w:rFonts w:ascii="Arial" w:hAnsi="Arial" w:cs="Arial"/>
              </w:rPr>
              <w:t xml:space="preserve">Increased </w:t>
            </w:r>
            <w:r w:rsidR="00E858FF" w:rsidRPr="0099632B">
              <w:rPr>
                <w:rFonts w:ascii="Arial" w:hAnsi="Arial" w:cs="Arial"/>
              </w:rPr>
              <w:t>9</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5F2AA618" w14:textId="6B50C374" w:rsidR="006209AB" w:rsidRPr="0099632B" w:rsidRDefault="00BC1BE9" w:rsidP="006209AB">
            <w:pPr>
              <w:rPr>
                <w:rFonts w:ascii="Arial" w:hAnsi="Arial" w:cs="Arial"/>
              </w:rPr>
            </w:pPr>
            <w:r w:rsidRPr="0099632B">
              <w:rPr>
                <w:rFonts w:ascii="Arial" w:hAnsi="Arial" w:cs="Arial"/>
              </w:rPr>
              <w:t xml:space="preserve">Increased </w:t>
            </w:r>
            <w:r w:rsidR="00E858FF" w:rsidRPr="0099632B">
              <w:rPr>
                <w:rFonts w:ascii="Arial" w:hAnsi="Arial" w:cs="Arial"/>
              </w:rPr>
              <w:t>26</w:t>
            </w:r>
            <w:r w:rsidR="006209AB" w:rsidRPr="0099632B">
              <w:rPr>
                <w:rFonts w:ascii="Arial" w:hAnsi="Arial" w:cs="Arial"/>
              </w:rPr>
              <w:t xml:space="preserve">% compared to 2018-19 financial year </w:t>
            </w:r>
          </w:p>
        </w:tc>
      </w:tr>
      <w:tr w:rsidR="006209AB" w:rsidRPr="0099632B" w14:paraId="1CC43F86" w14:textId="77777777" w:rsidTr="00AB7222">
        <w:trPr>
          <w:trHeight w:val="340"/>
        </w:trPr>
        <w:tc>
          <w:tcPr>
            <w:tcW w:w="1911" w:type="dxa"/>
            <w:shd w:val="clear" w:color="auto" w:fill="E7E6E6" w:themeFill="background2"/>
          </w:tcPr>
          <w:p w14:paraId="709639AB" w14:textId="77777777" w:rsidR="006209AB" w:rsidRPr="0099632B" w:rsidRDefault="006209AB" w:rsidP="006209AB">
            <w:pPr>
              <w:rPr>
                <w:rFonts w:ascii="Arial" w:hAnsi="Arial" w:cs="Arial"/>
              </w:rPr>
            </w:pPr>
            <w:r w:rsidRPr="0099632B">
              <w:rPr>
                <w:rFonts w:ascii="Arial" w:hAnsi="Arial" w:cs="Arial"/>
              </w:rPr>
              <w:t>Victoria</w:t>
            </w:r>
          </w:p>
        </w:tc>
        <w:tc>
          <w:tcPr>
            <w:tcW w:w="1770" w:type="dxa"/>
          </w:tcPr>
          <w:p w14:paraId="4E2F5720" w14:textId="340C3F21" w:rsidR="006209AB" w:rsidRPr="0099632B" w:rsidRDefault="006209AB" w:rsidP="006209AB">
            <w:pPr>
              <w:rPr>
                <w:rFonts w:ascii="Arial" w:hAnsi="Arial" w:cs="Arial"/>
              </w:rPr>
            </w:pPr>
            <w:r w:rsidRPr="0099632B">
              <w:rPr>
                <w:rFonts w:ascii="Arial" w:hAnsi="Arial" w:cs="Arial"/>
              </w:rPr>
              <w:t>$</w:t>
            </w:r>
            <w:r w:rsidR="00E858FF" w:rsidRPr="0099632B">
              <w:rPr>
                <w:rFonts w:ascii="Arial" w:hAnsi="Arial" w:cs="Arial"/>
              </w:rPr>
              <w:t>31.3</w:t>
            </w:r>
            <w:r w:rsidRPr="0099632B">
              <w:rPr>
                <w:rFonts w:ascii="Arial" w:hAnsi="Arial" w:cs="Arial"/>
              </w:rPr>
              <w:t xml:space="preserve"> billion</w:t>
            </w:r>
          </w:p>
        </w:tc>
        <w:tc>
          <w:tcPr>
            <w:tcW w:w="3118" w:type="dxa"/>
          </w:tcPr>
          <w:p w14:paraId="092E36BA" w14:textId="75A94869" w:rsidR="006209AB" w:rsidRPr="0099632B" w:rsidRDefault="006209AB" w:rsidP="006209AB">
            <w:pPr>
              <w:rPr>
                <w:rFonts w:ascii="Arial" w:hAnsi="Arial" w:cs="Arial"/>
              </w:rPr>
            </w:pPr>
            <w:r w:rsidRPr="0099632B">
              <w:rPr>
                <w:rFonts w:ascii="Arial" w:hAnsi="Arial" w:cs="Arial"/>
              </w:rPr>
              <w:t xml:space="preserve">Increased </w:t>
            </w:r>
            <w:r w:rsidR="00E858FF" w:rsidRPr="0099632B">
              <w:rPr>
                <w:rFonts w:ascii="Arial" w:hAnsi="Arial" w:cs="Arial"/>
              </w:rPr>
              <w:t>12</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4CF637B7" w14:textId="3AFD6EE8" w:rsidR="006209AB" w:rsidRPr="0099632B" w:rsidRDefault="00E858FF" w:rsidP="006209AB">
            <w:pPr>
              <w:rPr>
                <w:rFonts w:ascii="Arial" w:hAnsi="Arial" w:cs="Arial"/>
              </w:rPr>
            </w:pPr>
            <w:r w:rsidRPr="0099632B">
              <w:rPr>
                <w:rFonts w:ascii="Arial" w:hAnsi="Arial" w:cs="Arial"/>
              </w:rPr>
              <w:t>Increased 2</w:t>
            </w:r>
            <w:r w:rsidR="00CD52D6" w:rsidRPr="0099632B">
              <w:rPr>
                <w:rFonts w:ascii="Arial" w:hAnsi="Arial" w:cs="Arial"/>
              </w:rPr>
              <w:t>1</w:t>
            </w:r>
            <w:r w:rsidRPr="0099632B">
              <w:rPr>
                <w:rFonts w:ascii="Arial" w:hAnsi="Arial" w:cs="Arial"/>
              </w:rPr>
              <w:t>% compared to 2018-19 financial year</w:t>
            </w:r>
          </w:p>
        </w:tc>
      </w:tr>
      <w:tr w:rsidR="006209AB" w:rsidRPr="0099632B" w14:paraId="0D2A602B" w14:textId="77777777" w:rsidTr="00AB7222">
        <w:trPr>
          <w:trHeight w:val="340"/>
        </w:trPr>
        <w:tc>
          <w:tcPr>
            <w:tcW w:w="1911" w:type="dxa"/>
            <w:shd w:val="clear" w:color="auto" w:fill="E7E6E6" w:themeFill="background2"/>
          </w:tcPr>
          <w:p w14:paraId="2FC5BB91" w14:textId="77777777" w:rsidR="006209AB" w:rsidRPr="0099632B" w:rsidRDefault="006209AB" w:rsidP="006209AB">
            <w:pPr>
              <w:rPr>
                <w:rFonts w:ascii="Arial" w:hAnsi="Arial" w:cs="Arial"/>
              </w:rPr>
            </w:pPr>
            <w:r w:rsidRPr="0099632B">
              <w:rPr>
                <w:rFonts w:ascii="Arial" w:hAnsi="Arial" w:cs="Arial"/>
              </w:rPr>
              <w:lastRenderedPageBreak/>
              <w:t>New South Wales</w:t>
            </w:r>
          </w:p>
        </w:tc>
        <w:tc>
          <w:tcPr>
            <w:tcW w:w="1770" w:type="dxa"/>
          </w:tcPr>
          <w:p w14:paraId="4FB972E1" w14:textId="12E3EA84" w:rsidR="006209AB" w:rsidRPr="0099632B" w:rsidRDefault="006209AB" w:rsidP="006209AB">
            <w:pPr>
              <w:rPr>
                <w:rFonts w:ascii="Arial" w:hAnsi="Arial" w:cs="Arial"/>
              </w:rPr>
            </w:pPr>
            <w:r w:rsidRPr="0099632B">
              <w:rPr>
                <w:rFonts w:ascii="Arial" w:hAnsi="Arial" w:cs="Arial"/>
              </w:rPr>
              <w:t>$</w:t>
            </w:r>
            <w:r w:rsidR="00CD52D6" w:rsidRPr="0099632B">
              <w:rPr>
                <w:rFonts w:ascii="Arial" w:hAnsi="Arial" w:cs="Arial"/>
              </w:rPr>
              <w:t>41.7</w:t>
            </w:r>
            <w:r w:rsidRPr="0099632B">
              <w:rPr>
                <w:rFonts w:ascii="Arial" w:hAnsi="Arial" w:cs="Arial"/>
              </w:rPr>
              <w:t xml:space="preserve"> billion</w:t>
            </w:r>
          </w:p>
        </w:tc>
        <w:tc>
          <w:tcPr>
            <w:tcW w:w="3118" w:type="dxa"/>
          </w:tcPr>
          <w:p w14:paraId="18790D57" w14:textId="7A7D1F30" w:rsidR="006209AB" w:rsidRPr="0099632B" w:rsidRDefault="006209AB" w:rsidP="006209AB">
            <w:pPr>
              <w:rPr>
                <w:rFonts w:ascii="Arial" w:hAnsi="Arial" w:cs="Arial"/>
              </w:rPr>
            </w:pPr>
            <w:r w:rsidRPr="0099632B">
              <w:rPr>
                <w:rFonts w:ascii="Arial" w:hAnsi="Arial" w:cs="Arial"/>
              </w:rPr>
              <w:t xml:space="preserve">Increased </w:t>
            </w:r>
            <w:r w:rsidR="000A0865" w:rsidRPr="0099632B">
              <w:rPr>
                <w:rFonts w:ascii="Arial" w:hAnsi="Arial" w:cs="Arial"/>
              </w:rPr>
              <w:t>12</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77016FC9" w14:textId="0236C8BB" w:rsidR="006209AB" w:rsidRPr="0099632B" w:rsidRDefault="00BC1BE9" w:rsidP="006209AB">
            <w:pPr>
              <w:rPr>
                <w:rFonts w:ascii="Arial" w:hAnsi="Arial" w:cs="Arial"/>
              </w:rPr>
            </w:pPr>
            <w:r w:rsidRPr="0099632B">
              <w:rPr>
                <w:rFonts w:ascii="Arial" w:hAnsi="Arial" w:cs="Arial"/>
              </w:rPr>
              <w:t xml:space="preserve">Increased </w:t>
            </w:r>
            <w:r w:rsidR="000A0865" w:rsidRPr="0099632B">
              <w:rPr>
                <w:rFonts w:ascii="Arial" w:hAnsi="Arial" w:cs="Arial"/>
              </w:rPr>
              <w:t>25</w:t>
            </w:r>
            <w:r w:rsidR="006209AB" w:rsidRPr="0099632B">
              <w:rPr>
                <w:rFonts w:ascii="Arial" w:hAnsi="Arial" w:cs="Arial"/>
              </w:rPr>
              <w:t xml:space="preserve">% compared to 2018-19 financial year </w:t>
            </w:r>
          </w:p>
        </w:tc>
      </w:tr>
      <w:tr w:rsidR="006209AB" w:rsidRPr="0099632B" w14:paraId="3A444210" w14:textId="77777777" w:rsidTr="00AB7222">
        <w:trPr>
          <w:trHeight w:val="340"/>
        </w:trPr>
        <w:tc>
          <w:tcPr>
            <w:tcW w:w="1911" w:type="dxa"/>
            <w:shd w:val="clear" w:color="auto" w:fill="E7E6E6" w:themeFill="background2"/>
          </w:tcPr>
          <w:p w14:paraId="2DB805B3" w14:textId="77777777" w:rsidR="006209AB" w:rsidRPr="0099632B" w:rsidRDefault="006209AB" w:rsidP="006209AB">
            <w:pPr>
              <w:rPr>
                <w:rFonts w:ascii="Arial" w:hAnsi="Arial" w:cs="Arial"/>
              </w:rPr>
            </w:pPr>
            <w:r w:rsidRPr="0099632B">
              <w:rPr>
                <w:rFonts w:ascii="Arial" w:hAnsi="Arial" w:cs="Arial"/>
              </w:rPr>
              <w:t>Queensland</w:t>
            </w:r>
          </w:p>
        </w:tc>
        <w:tc>
          <w:tcPr>
            <w:tcW w:w="1770" w:type="dxa"/>
          </w:tcPr>
          <w:p w14:paraId="07BF60B9" w14:textId="1773A156" w:rsidR="006209AB" w:rsidRPr="0099632B" w:rsidRDefault="006209AB" w:rsidP="006209AB">
            <w:pPr>
              <w:rPr>
                <w:rFonts w:ascii="Arial" w:hAnsi="Arial" w:cs="Arial"/>
              </w:rPr>
            </w:pPr>
            <w:r w:rsidRPr="0099632B">
              <w:rPr>
                <w:rFonts w:ascii="Arial" w:hAnsi="Arial" w:cs="Arial"/>
              </w:rPr>
              <w:t>$</w:t>
            </w:r>
            <w:r w:rsidR="000A0865" w:rsidRPr="0099632B">
              <w:rPr>
                <w:rFonts w:ascii="Arial" w:hAnsi="Arial" w:cs="Arial"/>
              </w:rPr>
              <w:t>32.5</w:t>
            </w:r>
            <w:r w:rsidRPr="0099632B">
              <w:rPr>
                <w:rFonts w:ascii="Arial" w:hAnsi="Arial" w:cs="Arial"/>
              </w:rPr>
              <w:t xml:space="preserve"> billion</w:t>
            </w:r>
          </w:p>
        </w:tc>
        <w:tc>
          <w:tcPr>
            <w:tcW w:w="3118" w:type="dxa"/>
          </w:tcPr>
          <w:p w14:paraId="53EE51A1" w14:textId="29C82434" w:rsidR="006209AB" w:rsidRPr="0099632B" w:rsidRDefault="006209AB" w:rsidP="006209AB">
            <w:pPr>
              <w:rPr>
                <w:rFonts w:ascii="Arial" w:hAnsi="Arial" w:cs="Arial"/>
              </w:rPr>
            </w:pPr>
            <w:r w:rsidRPr="0099632B">
              <w:rPr>
                <w:rFonts w:ascii="Arial" w:hAnsi="Arial" w:cs="Arial"/>
              </w:rPr>
              <w:t xml:space="preserve">Increased </w:t>
            </w:r>
            <w:r w:rsidR="000A0865" w:rsidRPr="0099632B">
              <w:rPr>
                <w:rFonts w:ascii="Arial" w:hAnsi="Arial" w:cs="Arial"/>
              </w:rPr>
              <w:t>5</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78BE5EB5" w14:textId="6C243017" w:rsidR="006209AB" w:rsidRPr="0099632B" w:rsidRDefault="00BC1BE9" w:rsidP="006209AB">
            <w:pPr>
              <w:rPr>
                <w:rFonts w:ascii="Arial" w:hAnsi="Arial" w:cs="Arial"/>
              </w:rPr>
            </w:pPr>
            <w:r w:rsidRPr="0099632B">
              <w:rPr>
                <w:rFonts w:ascii="Arial" w:hAnsi="Arial" w:cs="Arial"/>
              </w:rPr>
              <w:t xml:space="preserve">Increased </w:t>
            </w:r>
            <w:r w:rsidR="000A0865" w:rsidRPr="0099632B">
              <w:rPr>
                <w:rFonts w:ascii="Arial" w:hAnsi="Arial" w:cs="Arial"/>
              </w:rPr>
              <w:t>31</w:t>
            </w:r>
            <w:r w:rsidR="006209AB" w:rsidRPr="0099632B">
              <w:rPr>
                <w:rFonts w:ascii="Arial" w:hAnsi="Arial" w:cs="Arial"/>
              </w:rPr>
              <w:t xml:space="preserve">% compared to 2018-19 financial year </w:t>
            </w:r>
          </w:p>
        </w:tc>
      </w:tr>
      <w:tr w:rsidR="006209AB" w:rsidRPr="0099632B" w14:paraId="0551E50F" w14:textId="77777777" w:rsidTr="00AB7222">
        <w:trPr>
          <w:trHeight w:val="340"/>
        </w:trPr>
        <w:tc>
          <w:tcPr>
            <w:tcW w:w="1911" w:type="dxa"/>
            <w:shd w:val="clear" w:color="auto" w:fill="E7E6E6" w:themeFill="background2"/>
          </w:tcPr>
          <w:p w14:paraId="67A72079" w14:textId="77777777" w:rsidR="006209AB" w:rsidRPr="0099632B" w:rsidRDefault="006209AB" w:rsidP="006209AB">
            <w:pPr>
              <w:rPr>
                <w:rFonts w:ascii="Arial" w:hAnsi="Arial" w:cs="Arial"/>
              </w:rPr>
            </w:pPr>
            <w:r w:rsidRPr="0099632B">
              <w:rPr>
                <w:rFonts w:ascii="Arial" w:hAnsi="Arial" w:cs="Arial"/>
              </w:rPr>
              <w:t>South Australia</w:t>
            </w:r>
          </w:p>
        </w:tc>
        <w:tc>
          <w:tcPr>
            <w:tcW w:w="1770" w:type="dxa"/>
          </w:tcPr>
          <w:p w14:paraId="1195B8CC" w14:textId="229F7DAC" w:rsidR="006209AB" w:rsidRPr="0099632B" w:rsidRDefault="006209AB" w:rsidP="006209AB">
            <w:pPr>
              <w:rPr>
                <w:rFonts w:ascii="Arial" w:hAnsi="Arial" w:cs="Arial"/>
              </w:rPr>
            </w:pPr>
            <w:r w:rsidRPr="0099632B">
              <w:rPr>
                <w:rFonts w:ascii="Arial" w:hAnsi="Arial" w:cs="Arial"/>
              </w:rPr>
              <w:t>$</w:t>
            </w:r>
            <w:r w:rsidR="00125648" w:rsidRPr="0099632B">
              <w:rPr>
                <w:rFonts w:ascii="Arial" w:hAnsi="Arial" w:cs="Arial"/>
              </w:rPr>
              <w:t>7.</w:t>
            </w:r>
            <w:r w:rsidR="00CD52D6" w:rsidRPr="0099632B">
              <w:rPr>
                <w:rFonts w:ascii="Arial" w:hAnsi="Arial" w:cs="Arial"/>
              </w:rPr>
              <w:t>9</w:t>
            </w:r>
            <w:r w:rsidRPr="0099632B">
              <w:rPr>
                <w:rFonts w:ascii="Arial" w:hAnsi="Arial" w:cs="Arial"/>
              </w:rPr>
              <w:t xml:space="preserve"> billion</w:t>
            </w:r>
          </w:p>
        </w:tc>
        <w:tc>
          <w:tcPr>
            <w:tcW w:w="3118" w:type="dxa"/>
          </w:tcPr>
          <w:p w14:paraId="37DF20BC" w14:textId="30DD7C0D" w:rsidR="006209AB" w:rsidRPr="0099632B" w:rsidRDefault="006209AB" w:rsidP="006209AB">
            <w:pPr>
              <w:rPr>
                <w:rFonts w:ascii="Arial" w:hAnsi="Arial" w:cs="Arial"/>
              </w:rPr>
            </w:pPr>
            <w:r w:rsidRPr="0099632B">
              <w:rPr>
                <w:rFonts w:ascii="Arial" w:hAnsi="Arial" w:cs="Arial"/>
              </w:rPr>
              <w:t xml:space="preserve">Increased </w:t>
            </w:r>
            <w:r w:rsidR="00567F58" w:rsidRPr="0099632B">
              <w:rPr>
                <w:rFonts w:ascii="Arial" w:hAnsi="Arial" w:cs="Arial"/>
              </w:rPr>
              <w:t>1</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05F78FBC" w14:textId="2E40ECF6" w:rsidR="006209AB" w:rsidRPr="0099632B" w:rsidRDefault="00BC1BE9" w:rsidP="006209AB">
            <w:pPr>
              <w:rPr>
                <w:rFonts w:ascii="Arial" w:hAnsi="Arial" w:cs="Arial"/>
              </w:rPr>
            </w:pPr>
            <w:r w:rsidRPr="0099632B">
              <w:rPr>
                <w:rFonts w:ascii="Arial" w:hAnsi="Arial" w:cs="Arial"/>
              </w:rPr>
              <w:t xml:space="preserve">Increased </w:t>
            </w:r>
            <w:r w:rsidR="00567F58" w:rsidRPr="0099632B">
              <w:rPr>
                <w:rFonts w:ascii="Arial" w:hAnsi="Arial" w:cs="Arial"/>
              </w:rPr>
              <w:t>22</w:t>
            </w:r>
            <w:r w:rsidR="006209AB" w:rsidRPr="0099632B">
              <w:rPr>
                <w:rFonts w:ascii="Arial" w:hAnsi="Arial" w:cs="Arial"/>
              </w:rPr>
              <w:t xml:space="preserve">% compared to 2018-19 financial year </w:t>
            </w:r>
          </w:p>
        </w:tc>
      </w:tr>
      <w:tr w:rsidR="006209AB" w:rsidRPr="0099632B" w14:paraId="6AF1437B" w14:textId="77777777" w:rsidTr="00AB7222">
        <w:trPr>
          <w:trHeight w:val="340"/>
        </w:trPr>
        <w:tc>
          <w:tcPr>
            <w:tcW w:w="1911" w:type="dxa"/>
            <w:shd w:val="clear" w:color="auto" w:fill="E7E6E6" w:themeFill="background2"/>
          </w:tcPr>
          <w:p w14:paraId="31CD280C" w14:textId="77777777" w:rsidR="006209AB" w:rsidRPr="0099632B" w:rsidRDefault="006209AB" w:rsidP="006209AB">
            <w:pPr>
              <w:rPr>
                <w:rFonts w:ascii="Arial" w:hAnsi="Arial" w:cs="Arial"/>
              </w:rPr>
            </w:pPr>
            <w:r w:rsidRPr="0099632B">
              <w:rPr>
                <w:rFonts w:ascii="Arial" w:hAnsi="Arial" w:cs="Arial"/>
              </w:rPr>
              <w:t>Western Australia</w:t>
            </w:r>
          </w:p>
        </w:tc>
        <w:tc>
          <w:tcPr>
            <w:tcW w:w="1770" w:type="dxa"/>
          </w:tcPr>
          <w:p w14:paraId="268625A9" w14:textId="2E322D9E" w:rsidR="006209AB" w:rsidRPr="0099632B" w:rsidRDefault="006209AB" w:rsidP="006209AB">
            <w:pPr>
              <w:rPr>
                <w:rFonts w:ascii="Arial" w:hAnsi="Arial" w:cs="Arial"/>
              </w:rPr>
            </w:pPr>
            <w:r w:rsidRPr="0099632B">
              <w:rPr>
                <w:rFonts w:ascii="Arial" w:hAnsi="Arial" w:cs="Arial"/>
              </w:rPr>
              <w:t>$</w:t>
            </w:r>
            <w:r w:rsidR="000A0865" w:rsidRPr="0099632B">
              <w:rPr>
                <w:rFonts w:ascii="Arial" w:hAnsi="Arial" w:cs="Arial"/>
              </w:rPr>
              <w:t>13.8</w:t>
            </w:r>
            <w:r w:rsidR="00125648" w:rsidRPr="0099632B">
              <w:rPr>
                <w:rFonts w:ascii="Arial" w:hAnsi="Arial" w:cs="Arial"/>
              </w:rPr>
              <w:t xml:space="preserve"> </w:t>
            </w:r>
            <w:r w:rsidRPr="0099632B">
              <w:rPr>
                <w:rFonts w:ascii="Arial" w:hAnsi="Arial" w:cs="Arial"/>
              </w:rPr>
              <w:t>billion</w:t>
            </w:r>
          </w:p>
        </w:tc>
        <w:tc>
          <w:tcPr>
            <w:tcW w:w="3118" w:type="dxa"/>
          </w:tcPr>
          <w:p w14:paraId="035F7AF2" w14:textId="3080AA0E" w:rsidR="006209AB" w:rsidRPr="0099632B" w:rsidRDefault="006209AB" w:rsidP="006209AB">
            <w:pPr>
              <w:rPr>
                <w:rFonts w:ascii="Arial" w:hAnsi="Arial" w:cs="Arial"/>
              </w:rPr>
            </w:pPr>
            <w:r w:rsidRPr="0099632B">
              <w:rPr>
                <w:rFonts w:ascii="Arial" w:hAnsi="Arial" w:cs="Arial"/>
              </w:rPr>
              <w:t xml:space="preserve">Increased </w:t>
            </w:r>
            <w:r w:rsidR="00567F58" w:rsidRPr="0099632B">
              <w:rPr>
                <w:rFonts w:ascii="Arial" w:hAnsi="Arial" w:cs="Arial"/>
              </w:rPr>
              <w:t>7</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00FC5263" w14:textId="2E8AD89A" w:rsidR="006209AB" w:rsidRPr="0099632B" w:rsidRDefault="00BC1BE9" w:rsidP="006209AB">
            <w:pPr>
              <w:rPr>
                <w:rFonts w:ascii="Arial" w:hAnsi="Arial" w:cs="Arial"/>
              </w:rPr>
            </w:pPr>
            <w:r w:rsidRPr="0099632B">
              <w:rPr>
                <w:rFonts w:ascii="Arial" w:hAnsi="Arial" w:cs="Arial"/>
              </w:rPr>
              <w:t xml:space="preserve">Increased </w:t>
            </w:r>
            <w:r w:rsidR="00567F58" w:rsidRPr="0099632B">
              <w:rPr>
                <w:rFonts w:ascii="Arial" w:hAnsi="Arial" w:cs="Arial"/>
              </w:rPr>
              <w:t>28</w:t>
            </w:r>
            <w:r w:rsidR="006209AB" w:rsidRPr="0099632B">
              <w:rPr>
                <w:rFonts w:ascii="Arial" w:hAnsi="Arial" w:cs="Arial"/>
              </w:rPr>
              <w:t xml:space="preserve">% compared to 2018-19 financial year </w:t>
            </w:r>
          </w:p>
        </w:tc>
      </w:tr>
      <w:tr w:rsidR="006209AB" w:rsidRPr="0099632B" w14:paraId="41FA14FA" w14:textId="77777777" w:rsidTr="00AB7222">
        <w:trPr>
          <w:trHeight w:val="340"/>
        </w:trPr>
        <w:tc>
          <w:tcPr>
            <w:tcW w:w="1911" w:type="dxa"/>
            <w:shd w:val="clear" w:color="auto" w:fill="E7E6E6" w:themeFill="background2"/>
          </w:tcPr>
          <w:p w14:paraId="44B6A345" w14:textId="77777777" w:rsidR="006209AB" w:rsidRPr="0099632B" w:rsidRDefault="006209AB" w:rsidP="006209AB">
            <w:pPr>
              <w:rPr>
                <w:rFonts w:ascii="Arial" w:hAnsi="Arial" w:cs="Arial"/>
              </w:rPr>
            </w:pPr>
            <w:r w:rsidRPr="0099632B">
              <w:rPr>
                <w:rFonts w:ascii="Arial" w:hAnsi="Arial" w:cs="Arial"/>
              </w:rPr>
              <w:t>Tasmania</w:t>
            </w:r>
          </w:p>
        </w:tc>
        <w:tc>
          <w:tcPr>
            <w:tcW w:w="1770" w:type="dxa"/>
          </w:tcPr>
          <w:p w14:paraId="2DA26E80" w14:textId="44C70B09" w:rsidR="006209AB" w:rsidRPr="0099632B" w:rsidRDefault="006209AB" w:rsidP="006209AB">
            <w:pPr>
              <w:rPr>
                <w:rFonts w:ascii="Arial" w:hAnsi="Arial" w:cs="Arial"/>
              </w:rPr>
            </w:pPr>
            <w:r w:rsidRPr="0099632B">
              <w:rPr>
                <w:rFonts w:ascii="Arial" w:hAnsi="Arial" w:cs="Arial"/>
              </w:rPr>
              <w:t>$</w:t>
            </w:r>
            <w:r w:rsidR="00567F58" w:rsidRPr="0099632B">
              <w:rPr>
                <w:rFonts w:ascii="Arial" w:hAnsi="Arial" w:cs="Arial"/>
              </w:rPr>
              <w:t>4.0</w:t>
            </w:r>
            <w:r w:rsidRPr="0099632B">
              <w:rPr>
                <w:rFonts w:ascii="Arial" w:hAnsi="Arial" w:cs="Arial"/>
              </w:rPr>
              <w:t xml:space="preserve"> billion</w:t>
            </w:r>
          </w:p>
        </w:tc>
        <w:tc>
          <w:tcPr>
            <w:tcW w:w="3118" w:type="dxa"/>
          </w:tcPr>
          <w:p w14:paraId="4B75F592" w14:textId="0218D7E7" w:rsidR="006209AB" w:rsidRPr="0099632B" w:rsidRDefault="006209AB" w:rsidP="006209AB">
            <w:pPr>
              <w:rPr>
                <w:rFonts w:ascii="Arial" w:hAnsi="Arial" w:cs="Arial"/>
              </w:rPr>
            </w:pPr>
            <w:r w:rsidRPr="0099632B">
              <w:rPr>
                <w:rFonts w:ascii="Arial" w:hAnsi="Arial" w:cs="Arial"/>
              </w:rPr>
              <w:t xml:space="preserve">Increased </w:t>
            </w:r>
            <w:r w:rsidR="00567F58" w:rsidRPr="0099632B">
              <w:rPr>
                <w:rFonts w:ascii="Arial" w:hAnsi="Arial" w:cs="Arial"/>
              </w:rPr>
              <w:t>15</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075AD06A" w14:textId="6374D40F" w:rsidR="006209AB" w:rsidRPr="0099632B" w:rsidRDefault="00E858FF" w:rsidP="006209AB">
            <w:pPr>
              <w:rPr>
                <w:rFonts w:ascii="Arial" w:hAnsi="Arial" w:cs="Arial"/>
              </w:rPr>
            </w:pPr>
            <w:r w:rsidRPr="0099632B">
              <w:rPr>
                <w:rFonts w:ascii="Arial" w:hAnsi="Arial" w:cs="Arial"/>
              </w:rPr>
              <w:t>Increased 2</w:t>
            </w:r>
            <w:r w:rsidR="00567F58" w:rsidRPr="0099632B">
              <w:rPr>
                <w:rFonts w:ascii="Arial" w:hAnsi="Arial" w:cs="Arial"/>
              </w:rPr>
              <w:t>3</w:t>
            </w:r>
            <w:r w:rsidRPr="0099632B">
              <w:rPr>
                <w:rFonts w:ascii="Arial" w:hAnsi="Arial" w:cs="Arial"/>
              </w:rPr>
              <w:t>% compared to 2018-19 financial year</w:t>
            </w:r>
          </w:p>
        </w:tc>
      </w:tr>
      <w:tr w:rsidR="006209AB" w:rsidRPr="0099632B" w14:paraId="4070DB8A" w14:textId="77777777" w:rsidTr="00AB7222">
        <w:trPr>
          <w:trHeight w:val="340"/>
        </w:trPr>
        <w:tc>
          <w:tcPr>
            <w:tcW w:w="1911" w:type="dxa"/>
            <w:shd w:val="clear" w:color="auto" w:fill="E7E6E6" w:themeFill="background2"/>
          </w:tcPr>
          <w:p w14:paraId="32038394" w14:textId="77777777" w:rsidR="006209AB" w:rsidRPr="0099632B" w:rsidRDefault="006209AB" w:rsidP="006209AB">
            <w:pPr>
              <w:rPr>
                <w:rFonts w:ascii="Arial" w:hAnsi="Arial" w:cs="Arial"/>
              </w:rPr>
            </w:pPr>
            <w:r w:rsidRPr="0099632B">
              <w:rPr>
                <w:rFonts w:ascii="Arial" w:hAnsi="Arial" w:cs="Arial"/>
              </w:rPr>
              <w:t>Northern Territory</w:t>
            </w:r>
          </w:p>
        </w:tc>
        <w:tc>
          <w:tcPr>
            <w:tcW w:w="1770" w:type="dxa"/>
          </w:tcPr>
          <w:p w14:paraId="4BDB868D" w14:textId="31E441E8" w:rsidR="006209AB" w:rsidRPr="0099632B" w:rsidRDefault="006209AB" w:rsidP="006209AB">
            <w:pPr>
              <w:rPr>
                <w:rFonts w:ascii="Arial" w:hAnsi="Arial" w:cs="Arial"/>
              </w:rPr>
            </w:pPr>
            <w:r w:rsidRPr="0099632B">
              <w:rPr>
                <w:rFonts w:ascii="Arial" w:hAnsi="Arial" w:cs="Arial"/>
              </w:rPr>
              <w:t>$2.</w:t>
            </w:r>
            <w:r w:rsidR="00567F58" w:rsidRPr="0099632B">
              <w:rPr>
                <w:rFonts w:ascii="Arial" w:hAnsi="Arial" w:cs="Arial"/>
              </w:rPr>
              <w:t>5</w:t>
            </w:r>
            <w:r w:rsidR="00125648" w:rsidRPr="0099632B">
              <w:rPr>
                <w:rFonts w:ascii="Arial" w:hAnsi="Arial" w:cs="Arial"/>
              </w:rPr>
              <w:t xml:space="preserve"> </w:t>
            </w:r>
            <w:r w:rsidRPr="0099632B">
              <w:rPr>
                <w:rFonts w:ascii="Arial" w:hAnsi="Arial" w:cs="Arial"/>
              </w:rPr>
              <w:t>billion</w:t>
            </w:r>
          </w:p>
        </w:tc>
        <w:tc>
          <w:tcPr>
            <w:tcW w:w="3118" w:type="dxa"/>
          </w:tcPr>
          <w:p w14:paraId="3FC5BB7F" w14:textId="496AC3F5" w:rsidR="006209AB" w:rsidRPr="0099632B" w:rsidRDefault="006209AB" w:rsidP="006209AB">
            <w:pPr>
              <w:rPr>
                <w:rFonts w:ascii="Arial" w:hAnsi="Arial" w:cs="Arial"/>
              </w:rPr>
            </w:pPr>
            <w:r w:rsidRPr="0099632B">
              <w:rPr>
                <w:rFonts w:ascii="Arial" w:hAnsi="Arial" w:cs="Arial"/>
              </w:rPr>
              <w:t xml:space="preserve">Increased </w:t>
            </w:r>
            <w:r w:rsidR="00AA7D68" w:rsidRPr="0099632B">
              <w:rPr>
                <w:rFonts w:ascii="Arial" w:hAnsi="Arial" w:cs="Arial"/>
              </w:rPr>
              <w:t>7</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 </w:t>
            </w:r>
          </w:p>
        </w:tc>
        <w:tc>
          <w:tcPr>
            <w:tcW w:w="2950" w:type="dxa"/>
          </w:tcPr>
          <w:p w14:paraId="1FB6BCAC" w14:textId="02DAC86F" w:rsidR="006209AB" w:rsidRPr="0099632B" w:rsidRDefault="00895243" w:rsidP="006209AB">
            <w:pPr>
              <w:rPr>
                <w:rFonts w:ascii="Arial" w:hAnsi="Arial" w:cs="Arial"/>
              </w:rPr>
            </w:pPr>
            <w:r w:rsidRPr="0099632B">
              <w:rPr>
                <w:rFonts w:ascii="Arial" w:hAnsi="Arial" w:cs="Arial"/>
              </w:rPr>
              <w:t xml:space="preserve">Increased </w:t>
            </w:r>
            <w:r w:rsidR="00AA7D68" w:rsidRPr="0099632B">
              <w:rPr>
                <w:rFonts w:ascii="Arial" w:hAnsi="Arial" w:cs="Arial"/>
              </w:rPr>
              <w:t>20</w:t>
            </w:r>
            <w:r w:rsidR="006209AB" w:rsidRPr="0099632B">
              <w:rPr>
                <w:rFonts w:ascii="Arial" w:hAnsi="Arial" w:cs="Arial"/>
              </w:rPr>
              <w:t xml:space="preserve">% compared to 2018-19 financial year </w:t>
            </w:r>
          </w:p>
        </w:tc>
      </w:tr>
      <w:tr w:rsidR="006209AB" w:rsidRPr="0099632B" w14:paraId="4D6326CD" w14:textId="77777777" w:rsidTr="00AB7222">
        <w:trPr>
          <w:trHeight w:val="340"/>
        </w:trPr>
        <w:tc>
          <w:tcPr>
            <w:tcW w:w="1911" w:type="dxa"/>
            <w:shd w:val="clear" w:color="auto" w:fill="E7E6E6" w:themeFill="background2"/>
          </w:tcPr>
          <w:p w14:paraId="44A31ACB" w14:textId="77777777" w:rsidR="006209AB" w:rsidRPr="0099632B" w:rsidRDefault="006209AB" w:rsidP="006209AB">
            <w:pPr>
              <w:rPr>
                <w:rFonts w:ascii="Arial" w:hAnsi="Arial" w:cs="Arial"/>
              </w:rPr>
            </w:pPr>
            <w:r w:rsidRPr="0099632B">
              <w:rPr>
                <w:rFonts w:ascii="Arial" w:hAnsi="Arial" w:cs="Arial"/>
              </w:rPr>
              <w:t>ACT</w:t>
            </w:r>
          </w:p>
        </w:tc>
        <w:tc>
          <w:tcPr>
            <w:tcW w:w="1770" w:type="dxa"/>
          </w:tcPr>
          <w:p w14:paraId="4047B989" w14:textId="3BF78695" w:rsidR="006209AB" w:rsidRPr="0099632B" w:rsidRDefault="006209AB" w:rsidP="006209AB">
            <w:pPr>
              <w:rPr>
                <w:rFonts w:ascii="Arial" w:hAnsi="Arial" w:cs="Arial"/>
              </w:rPr>
            </w:pPr>
            <w:r w:rsidRPr="0099632B">
              <w:rPr>
                <w:rFonts w:ascii="Arial" w:hAnsi="Arial" w:cs="Arial"/>
              </w:rPr>
              <w:t>$2.</w:t>
            </w:r>
            <w:r w:rsidR="00567F58" w:rsidRPr="0099632B">
              <w:rPr>
                <w:rFonts w:ascii="Arial" w:hAnsi="Arial" w:cs="Arial"/>
              </w:rPr>
              <w:t>8</w:t>
            </w:r>
            <w:r w:rsidRPr="0099632B">
              <w:rPr>
                <w:rFonts w:ascii="Arial" w:hAnsi="Arial" w:cs="Arial"/>
              </w:rPr>
              <w:t xml:space="preserve"> billion</w:t>
            </w:r>
          </w:p>
        </w:tc>
        <w:tc>
          <w:tcPr>
            <w:tcW w:w="3118" w:type="dxa"/>
          </w:tcPr>
          <w:p w14:paraId="1AA583CE" w14:textId="7A330A30" w:rsidR="006209AB" w:rsidRPr="0099632B" w:rsidRDefault="006209AB" w:rsidP="006209AB">
            <w:pPr>
              <w:rPr>
                <w:rFonts w:ascii="Arial" w:hAnsi="Arial" w:cs="Arial"/>
              </w:rPr>
            </w:pPr>
            <w:r w:rsidRPr="0099632B">
              <w:rPr>
                <w:rFonts w:ascii="Arial" w:hAnsi="Arial" w:cs="Arial"/>
              </w:rPr>
              <w:t xml:space="preserve">Increased </w:t>
            </w:r>
            <w:r w:rsidR="00567F58" w:rsidRPr="0099632B">
              <w:rPr>
                <w:rFonts w:ascii="Arial" w:hAnsi="Arial" w:cs="Arial"/>
              </w:rPr>
              <w:t>6</w:t>
            </w:r>
            <w:r w:rsidRPr="0099632B">
              <w:rPr>
                <w:rFonts w:ascii="Arial" w:hAnsi="Arial" w:cs="Arial"/>
              </w:rPr>
              <w:t xml:space="preserve">% compared to </w:t>
            </w:r>
            <w:r w:rsidR="001111CF" w:rsidRPr="0099632B">
              <w:rPr>
                <w:rFonts w:ascii="Arial" w:hAnsi="Arial" w:cs="Arial"/>
              </w:rPr>
              <w:t>2022-23</w:t>
            </w:r>
            <w:r w:rsidRPr="0099632B">
              <w:rPr>
                <w:rFonts w:ascii="Arial" w:hAnsi="Arial" w:cs="Arial"/>
              </w:rPr>
              <w:t xml:space="preserve"> financial year</w:t>
            </w:r>
          </w:p>
        </w:tc>
        <w:tc>
          <w:tcPr>
            <w:tcW w:w="2950" w:type="dxa"/>
          </w:tcPr>
          <w:p w14:paraId="5ABE30CE" w14:textId="7E73FD3D" w:rsidR="006209AB" w:rsidRPr="0099632B" w:rsidRDefault="00BC1BE9" w:rsidP="006209AB">
            <w:pPr>
              <w:rPr>
                <w:rFonts w:ascii="Arial" w:hAnsi="Arial" w:cs="Arial"/>
              </w:rPr>
            </w:pPr>
            <w:r w:rsidRPr="0099632B">
              <w:rPr>
                <w:rFonts w:ascii="Arial" w:hAnsi="Arial" w:cs="Arial"/>
              </w:rPr>
              <w:t xml:space="preserve">Increased </w:t>
            </w:r>
            <w:r w:rsidR="00567F58" w:rsidRPr="0099632B">
              <w:rPr>
                <w:rFonts w:ascii="Arial" w:hAnsi="Arial" w:cs="Arial"/>
              </w:rPr>
              <w:t>27</w:t>
            </w:r>
            <w:r w:rsidR="006209AB" w:rsidRPr="0099632B">
              <w:rPr>
                <w:rFonts w:ascii="Arial" w:hAnsi="Arial" w:cs="Arial"/>
              </w:rPr>
              <w:t xml:space="preserve">% compared to 2018-19 financial year </w:t>
            </w:r>
          </w:p>
        </w:tc>
      </w:tr>
    </w:tbl>
    <w:p w14:paraId="5F2F3FF0" w14:textId="77777777" w:rsidR="00916B94" w:rsidRPr="0099632B" w:rsidRDefault="00916B94" w:rsidP="00BC556B">
      <w:pPr>
        <w:pStyle w:val="NoSpacing"/>
        <w:rPr>
          <w:rFonts w:ascii="Arial" w:hAnsi="Arial" w:cs="Arial"/>
        </w:rPr>
      </w:pPr>
    </w:p>
    <w:p w14:paraId="026D33F0" w14:textId="6653D1A9" w:rsidR="00540325" w:rsidRPr="00B82E1F" w:rsidRDefault="00C43065" w:rsidP="00313271">
      <w:pPr>
        <w:pStyle w:val="Heading3"/>
        <w:spacing w:after="120"/>
        <w:rPr>
          <w:rFonts w:ascii="Arial" w:eastAsiaTheme="minorHAnsi" w:hAnsi="Arial" w:cs="Arial"/>
          <w:color w:val="002060"/>
        </w:rPr>
      </w:pPr>
      <w:r w:rsidRPr="0099632B">
        <w:rPr>
          <w:rFonts w:ascii="Arial" w:eastAsiaTheme="minorHAnsi" w:hAnsi="Arial" w:cs="Arial"/>
          <w:color w:val="002060"/>
        </w:rPr>
        <w:t xml:space="preserve">9.4.3 </w:t>
      </w:r>
      <w:r w:rsidR="00540325" w:rsidRPr="0099632B">
        <w:rPr>
          <w:rFonts w:ascii="Arial" w:eastAsiaTheme="minorHAnsi" w:hAnsi="Arial" w:cs="Arial"/>
          <w:color w:val="002060"/>
        </w:rPr>
        <w:t xml:space="preserve">Summary of tourism’s contribution to </w:t>
      </w:r>
      <w:r w:rsidR="00AF5F8C" w:rsidRPr="0099632B">
        <w:rPr>
          <w:rFonts w:ascii="Arial" w:eastAsiaTheme="minorHAnsi" w:hAnsi="Arial" w:cs="Arial"/>
          <w:color w:val="002060"/>
        </w:rPr>
        <w:t>tourism filled jobs</w:t>
      </w:r>
      <w:r w:rsidR="00540325" w:rsidRPr="0099632B">
        <w:rPr>
          <w:rFonts w:ascii="Arial" w:eastAsiaTheme="minorHAnsi" w:hAnsi="Arial" w:cs="Arial"/>
          <w:color w:val="002060"/>
        </w:rPr>
        <w:t xml:space="preserve"> in each state/ territory and </w:t>
      </w:r>
      <w:r w:rsidR="00246E65" w:rsidRPr="0099632B">
        <w:rPr>
          <w:rFonts w:ascii="Arial" w:eastAsiaTheme="minorHAnsi" w:hAnsi="Arial" w:cs="Arial"/>
          <w:color w:val="002060"/>
        </w:rPr>
        <w:t xml:space="preserve">percentage </w:t>
      </w:r>
      <w:r w:rsidR="00540325" w:rsidRPr="0099632B">
        <w:rPr>
          <w:rFonts w:ascii="Arial" w:eastAsiaTheme="minorHAnsi" w:hAnsi="Arial" w:cs="Arial"/>
          <w:color w:val="002060"/>
        </w:rPr>
        <w:t>change compared to previous financial years.</w:t>
      </w:r>
    </w:p>
    <w:tbl>
      <w:tblPr>
        <w:tblStyle w:val="TableGrid"/>
        <w:tblpPr w:leftFromText="180" w:rightFromText="180" w:vertAnchor="text" w:horzAnchor="margin" w:tblpY="52"/>
        <w:tblW w:w="9749" w:type="dxa"/>
        <w:tblLook w:val="04A0" w:firstRow="1" w:lastRow="0" w:firstColumn="1" w:lastColumn="0" w:noHBand="0" w:noVBand="1"/>
      </w:tblPr>
      <w:tblGrid>
        <w:gridCol w:w="1911"/>
        <w:gridCol w:w="1770"/>
        <w:gridCol w:w="2835"/>
        <w:gridCol w:w="3233"/>
      </w:tblGrid>
      <w:tr w:rsidR="00540325" w:rsidRPr="0099632B" w14:paraId="6A48EFA5" w14:textId="77777777" w:rsidTr="004A110B">
        <w:trPr>
          <w:trHeight w:val="340"/>
          <w:tblHeader/>
        </w:trPr>
        <w:tc>
          <w:tcPr>
            <w:tcW w:w="1911" w:type="dxa"/>
            <w:tcBorders>
              <w:bottom w:val="nil"/>
            </w:tcBorders>
            <w:shd w:val="clear" w:color="auto" w:fill="E7E6E6" w:themeFill="background2"/>
          </w:tcPr>
          <w:p w14:paraId="326E3064" w14:textId="77777777" w:rsidR="00540325" w:rsidRPr="0099632B" w:rsidRDefault="00540325" w:rsidP="004A110B">
            <w:pPr>
              <w:rPr>
                <w:rFonts w:ascii="Arial" w:hAnsi="Arial" w:cs="Arial"/>
                <w:b/>
                <w:bCs/>
              </w:rPr>
            </w:pPr>
            <w:bookmarkStart w:id="73" w:name="Title_28" w:colFirst="0" w:colLast="0"/>
            <w:r w:rsidRPr="0099632B">
              <w:rPr>
                <w:rFonts w:ascii="Arial" w:hAnsi="Arial" w:cs="Arial"/>
                <w:b/>
                <w:bCs/>
              </w:rPr>
              <w:t>State/ territory</w:t>
            </w:r>
          </w:p>
        </w:tc>
        <w:tc>
          <w:tcPr>
            <w:tcW w:w="1770" w:type="dxa"/>
            <w:tcBorders>
              <w:bottom w:val="nil"/>
            </w:tcBorders>
            <w:shd w:val="clear" w:color="auto" w:fill="E7E6E6" w:themeFill="background2"/>
          </w:tcPr>
          <w:p w14:paraId="48433AA1" w14:textId="599853D7" w:rsidR="00540325" w:rsidRPr="0099632B" w:rsidRDefault="00540325" w:rsidP="004A110B">
            <w:pPr>
              <w:rPr>
                <w:rFonts w:ascii="Arial" w:hAnsi="Arial" w:cs="Arial"/>
                <w:b/>
                <w:bCs/>
              </w:rPr>
            </w:pPr>
            <w:r w:rsidRPr="0099632B">
              <w:rPr>
                <w:rFonts w:ascii="Arial" w:hAnsi="Arial" w:cs="Arial"/>
                <w:b/>
                <w:bCs/>
              </w:rPr>
              <w:t>Total filled jobs</w:t>
            </w:r>
          </w:p>
        </w:tc>
        <w:tc>
          <w:tcPr>
            <w:tcW w:w="2835" w:type="dxa"/>
            <w:tcBorders>
              <w:bottom w:val="nil"/>
            </w:tcBorders>
            <w:shd w:val="clear" w:color="auto" w:fill="E7E6E6" w:themeFill="background2"/>
          </w:tcPr>
          <w:p w14:paraId="562D1C36" w14:textId="6F297F86" w:rsidR="00540325" w:rsidRPr="0099632B" w:rsidRDefault="00566AC2" w:rsidP="004A110B">
            <w:pPr>
              <w:rPr>
                <w:rFonts w:ascii="Arial" w:hAnsi="Arial" w:cs="Arial"/>
                <w:b/>
                <w:bCs/>
              </w:rPr>
            </w:pPr>
            <w:r w:rsidRPr="0099632B">
              <w:rPr>
                <w:rFonts w:ascii="Arial" w:hAnsi="Arial" w:cs="Arial"/>
                <w:b/>
                <w:bCs/>
                <w:sz w:val="20"/>
                <w:szCs w:val="20"/>
              </w:rPr>
              <w:t xml:space="preserve">Year-on year change </w:t>
            </w:r>
            <w:r w:rsidR="001111CF" w:rsidRPr="0099632B">
              <w:rPr>
                <w:rFonts w:ascii="Arial" w:hAnsi="Arial" w:cs="Arial"/>
                <w:b/>
                <w:bCs/>
                <w:sz w:val="20"/>
                <w:szCs w:val="20"/>
              </w:rPr>
              <w:t>2022-23</w:t>
            </w:r>
            <w:r w:rsidRPr="0099632B">
              <w:rPr>
                <w:rFonts w:ascii="Arial" w:hAnsi="Arial" w:cs="Arial"/>
                <w:b/>
                <w:bCs/>
                <w:sz w:val="20"/>
                <w:szCs w:val="20"/>
              </w:rPr>
              <w:t xml:space="preserve"> to </w:t>
            </w:r>
            <w:r w:rsidR="00087CA3" w:rsidRPr="0099632B">
              <w:rPr>
                <w:rFonts w:ascii="Arial" w:hAnsi="Arial" w:cs="Arial"/>
                <w:b/>
                <w:bCs/>
                <w:sz w:val="20"/>
                <w:szCs w:val="20"/>
              </w:rPr>
              <w:t>2023-24</w:t>
            </w:r>
          </w:p>
        </w:tc>
        <w:tc>
          <w:tcPr>
            <w:tcW w:w="3233" w:type="dxa"/>
            <w:tcBorders>
              <w:bottom w:val="nil"/>
            </w:tcBorders>
            <w:shd w:val="clear" w:color="auto" w:fill="E7E6E6" w:themeFill="background2"/>
          </w:tcPr>
          <w:p w14:paraId="1BA028C6" w14:textId="77777777" w:rsidR="00540325" w:rsidRPr="0099632B" w:rsidRDefault="00540325" w:rsidP="004A110B">
            <w:pPr>
              <w:rPr>
                <w:rFonts w:ascii="Arial" w:hAnsi="Arial" w:cs="Arial"/>
                <w:b/>
                <w:bCs/>
              </w:rPr>
            </w:pPr>
            <w:r w:rsidRPr="0099632B">
              <w:rPr>
                <w:rFonts w:ascii="Arial" w:hAnsi="Arial" w:cs="Arial"/>
                <w:b/>
                <w:bCs/>
              </w:rPr>
              <w:t>% change compared to 2018-19</w:t>
            </w:r>
          </w:p>
        </w:tc>
      </w:tr>
      <w:bookmarkEnd w:id="73"/>
      <w:tr w:rsidR="001C093D" w:rsidRPr="0099632B" w14:paraId="196B4FFF" w14:textId="77777777" w:rsidTr="00864874">
        <w:trPr>
          <w:trHeight w:val="340"/>
        </w:trPr>
        <w:tc>
          <w:tcPr>
            <w:tcW w:w="1911" w:type="dxa"/>
            <w:shd w:val="clear" w:color="auto" w:fill="E7E6E6" w:themeFill="background2"/>
          </w:tcPr>
          <w:p w14:paraId="0B1E843B" w14:textId="77777777" w:rsidR="001C093D" w:rsidRPr="0099632B" w:rsidRDefault="001C093D" w:rsidP="001C093D">
            <w:pPr>
              <w:rPr>
                <w:rFonts w:ascii="Arial" w:hAnsi="Arial" w:cs="Arial"/>
              </w:rPr>
            </w:pPr>
            <w:r w:rsidRPr="0099632B">
              <w:rPr>
                <w:rFonts w:ascii="Arial" w:hAnsi="Arial" w:cs="Arial"/>
              </w:rPr>
              <w:t>Australia</w:t>
            </w:r>
          </w:p>
        </w:tc>
        <w:tc>
          <w:tcPr>
            <w:tcW w:w="1770" w:type="dxa"/>
          </w:tcPr>
          <w:p w14:paraId="2CC38581" w14:textId="4EB19325" w:rsidR="001C093D" w:rsidRPr="0099632B" w:rsidRDefault="001C093D" w:rsidP="001C093D">
            <w:pPr>
              <w:rPr>
                <w:rFonts w:ascii="Arial" w:hAnsi="Arial" w:cs="Arial"/>
              </w:rPr>
            </w:pPr>
            <w:r w:rsidRPr="0099632B">
              <w:rPr>
                <w:rFonts w:ascii="Arial" w:hAnsi="Arial" w:cs="Arial"/>
              </w:rPr>
              <w:t>1,175,400</w:t>
            </w:r>
          </w:p>
        </w:tc>
        <w:tc>
          <w:tcPr>
            <w:tcW w:w="2835" w:type="dxa"/>
          </w:tcPr>
          <w:p w14:paraId="63E576EF" w14:textId="36C9B7E2" w:rsidR="001C093D" w:rsidRPr="0099632B" w:rsidRDefault="001C093D" w:rsidP="001C093D">
            <w:pPr>
              <w:rPr>
                <w:rFonts w:ascii="Arial" w:hAnsi="Arial" w:cs="Arial"/>
              </w:rPr>
            </w:pPr>
            <w:r w:rsidRPr="0099632B">
              <w:rPr>
                <w:rFonts w:ascii="Arial" w:hAnsi="Arial" w:cs="Arial"/>
              </w:rPr>
              <w:t xml:space="preserve">Increased </w:t>
            </w:r>
            <w:r w:rsidR="00552E7B" w:rsidRPr="0099632B">
              <w:rPr>
                <w:rFonts w:ascii="Arial" w:hAnsi="Arial" w:cs="Arial"/>
              </w:rPr>
              <w:t>6</w:t>
            </w:r>
            <w:r w:rsidRPr="0099632B">
              <w:rPr>
                <w:rFonts w:ascii="Arial" w:hAnsi="Arial" w:cs="Arial"/>
              </w:rPr>
              <w:t xml:space="preserve">% compared to 2022-23 financial year </w:t>
            </w:r>
          </w:p>
        </w:tc>
        <w:tc>
          <w:tcPr>
            <w:tcW w:w="3233" w:type="dxa"/>
          </w:tcPr>
          <w:p w14:paraId="75109D31" w14:textId="2B6CAD0F" w:rsidR="001C093D" w:rsidRPr="0099632B" w:rsidRDefault="001C093D" w:rsidP="001C093D">
            <w:pPr>
              <w:rPr>
                <w:rFonts w:ascii="Arial" w:hAnsi="Arial" w:cs="Arial"/>
              </w:rPr>
            </w:pPr>
            <w:r w:rsidRPr="0099632B">
              <w:rPr>
                <w:rFonts w:ascii="Arial" w:hAnsi="Arial" w:cs="Arial"/>
              </w:rPr>
              <w:t xml:space="preserve">Increased 14% compared to 2018-19 financial year </w:t>
            </w:r>
          </w:p>
        </w:tc>
      </w:tr>
      <w:tr w:rsidR="00552E7B" w:rsidRPr="0099632B" w14:paraId="3E022B2B" w14:textId="77777777" w:rsidTr="00864874">
        <w:trPr>
          <w:trHeight w:val="340"/>
        </w:trPr>
        <w:tc>
          <w:tcPr>
            <w:tcW w:w="1911" w:type="dxa"/>
            <w:shd w:val="clear" w:color="auto" w:fill="E7E6E6" w:themeFill="background2"/>
          </w:tcPr>
          <w:p w14:paraId="44E8B264" w14:textId="77777777" w:rsidR="00552E7B" w:rsidRPr="0099632B" w:rsidRDefault="00552E7B" w:rsidP="00552E7B">
            <w:pPr>
              <w:rPr>
                <w:rFonts w:ascii="Arial" w:hAnsi="Arial" w:cs="Arial"/>
              </w:rPr>
            </w:pPr>
            <w:r w:rsidRPr="0099632B">
              <w:rPr>
                <w:rFonts w:ascii="Arial" w:hAnsi="Arial" w:cs="Arial"/>
              </w:rPr>
              <w:t>Victoria</w:t>
            </w:r>
          </w:p>
        </w:tc>
        <w:tc>
          <w:tcPr>
            <w:tcW w:w="1770" w:type="dxa"/>
          </w:tcPr>
          <w:p w14:paraId="2E108E7B" w14:textId="37AF9D6D" w:rsidR="00552E7B" w:rsidRPr="0099632B" w:rsidRDefault="00552E7B" w:rsidP="00552E7B">
            <w:pPr>
              <w:rPr>
                <w:rFonts w:ascii="Arial" w:hAnsi="Arial" w:cs="Arial"/>
              </w:rPr>
            </w:pPr>
            <w:r w:rsidRPr="0099632B">
              <w:rPr>
                <w:rFonts w:ascii="Arial" w:hAnsi="Arial" w:cs="Arial"/>
              </w:rPr>
              <w:t>288,800</w:t>
            </w:r>
          </w:p>
        </w:tc>
        <w:tc>
          <w:tcPr>
            <w:tcW w:w="2835" w:type="dxa"/>
          </w:tcPr>
          <w:p w14:paraId="4C36CA97" w14:textId="3864E699" w:rsidR="00552E7B" w:rsidRPr="0099632B" w:rsidRDefault="00552E7B" w:rsidP="00552E7B">
            <w:pPr>
              <w:rPr>
                <w:rFonts w:ascii="Arial" w:hAnsi="Arial" w:cs="Arial"/>
              </w:rPr>
            </w:pPr>
            <w:r w:rsidRPr="0099632B">
              <w:rPr>
                <w:rFonts w:ascii="Arial" w:hAnsi="Arial" w:cs="Arial"/>
              </w:rPr>
              <w:t xml:space="preserve">Increased 8% compared to 2022-23 financial year </w:t>
            </w:r>
          </w:p>
        </w:tc>
        <w:tc>
          <w:tcPr>
            <w:tcW w:w="3233" w:type="dxa"/>
          </w:tcPr>
          <w:p w14:paraId="6D06EEC0" w14:textId="6308C225" w:rsidR="00552E7B" w:rsidRPr="0099632B" w:rsidRDefault="00552E7B" w:rsidP="00552E7B">
            <w:pPr>
              <w:rPr>
                <w:rFonts w:ascii="Arial" w:hAnsi="Arial" w:cs="Arial"/>
              </w:rPr>
            </w:pPr>
            <w:r w:rsidRPr="0099632B">
              <w:rPr>
                <w:rFonts w:ascii="Arial" w:hAnsi="Arial" w:cs="Arial"/>
              </w:rPr>
              <w:t xml:space="preserve">Increased 10% compared to 2018-19 financial year </w:t>
            </w:r>
          </w:p>
        </w:tc>
      </w:tr>
      <w:tr w:rsidR="00552E7B" w:rsidRPr="0099632B" w14:paraId="26FFC601" w14:textId="77777777" w:rsidTr="00864874">
        <w:trPr>
          <w:trHeight w:val="340"/>
        </w:trPr>
        <w:tc>
          <w:tcPr>
            <w:tcW w:w="1911" w:type="dxa"/>
            <w:shd w:val="clear" w:color="auto" w:fill="E7E6E6" w:themeFill="background2"/>
          </w:tcPr>
          <w:p w14:paraId="743EEE5B" w14:textId="77777777" w:rsidR="00552E7B" w:rsidRPr="0099632B" w:rsidRDefault="00552E7B" w:rsidP="00552E7B">
            <w:pPr>
              <w:rPr>
                <w:rFonts w:ascii="Arial" w:hAnsi="Arial" w:cs="Arial"/>
              </w:rPr>
            </w:pPr>
            <w:r w:rsidRPr="0099632B">
              <w:rPr>
                <w:rFonts w:ascii="Arial" w:hAnsi="Arial" w:cs="Arial"/>
              </w:rPr>
              <w:t>New South Wales</w:t>
            </w:r>
          </w:p>
        </w:tc>
        <w:tc>
          <w:tcPr>
            <w:tcW w:w="1770" w:type="dxa"/>
          </w:tcPr>
          <w:p w14:paraId="2D4AFBD1" w14:textId="4D5D2845" w:rsidR="00552E7B" w:rsidRPr="0099632B" w:rsidRDefault="00552E7B" w:rsidP="00552E7B">
            <w:pPr>
              <w:rPr>
                <w:rFonts w:ascii="Arial" w:hAnsi="Arial" w:cs="Arial"/>
              </w:rPr>
            </w:pPr>
            <w:r w:rsidRPr="0099632B">
              <w:rPr>
                <w:rFonts w:ascii="Arial" w:hAnsi="Arial" w:cs="Arial"/>
              </w:rPr>
              <w:t>328,200</w:t>
            </w:r>
          </w:p>
        </w:tc>
        <w:tc>
          <w:tcPr>
            <w:tcW w:w="2835" w:type="dxa"/>
          </w:tcPr>
          <w:p w14:paraId="30AB43FD" w14:textId="2400952E" w:rsidR="00552E7B" w:rsidRPr="0099632B" w:rsidRDefault="00552E7B" w:rsidP="00552E7B">
            <w:pPr>
              <w:rPr>
                <w:rFonts w:ascii="Arial" w:hAnsi="Arial" w:cs="Arial"/>
              </w:rPr>
            </w:pPr>
            <w:r w:rsidRPr="0099632B">
              <w:rPr>
                <w:rFonts w:ascii="Arial" w:hAnsi="Arial" w:cs="Arial"/>
              </w:rPr>
              <w:t xml:space="preserve">Increased 9% compared to 2022-23 financial year </w:t>
            </w:r>
          </w:p>
        </w:tc>
        <w:tc>
          <w:tcPr>
            <w:tcW w:w="3233" w:type="dxa"/>
          </w:tcPr>
          <w:p w14:paraId="355C0A31" w14:textId="252EC430" w:rsidR="00552E7B" w:rsidRPr="0099632B" w:rsidRDefault="00552E7B" w:rsidP="00552E7B">
            <w:pPr>
              <w:rPr>
                <w:rFonts w:ascii="Arial" w:hAnsi="Arial" w:cs="Arial"/>
              </w:rPr>
            </w:pPr>
            <w:r w:rsidRPr="0099632B">
              <w:rPr>
                <w:rFonts w:ascii="Arial" w:hAnsi="Arial" w:cs="Arial"/>
              </w:rPr>
              <w:t xml:space="preserve">Increased 12% compared to 2018-19 financial year </w:t>
            </w:r>
          </w:p>
        </w:tc>
      </w:tr>
      <w:tr w:rsidR="00552E7B" w:rsidRPr="0099632B" w14:paraId="5C63C2DC" w14:textId="77777777" w:rsidTr="00864874">
        <w:trPr>
          <w:trHeight w:val="340"/>
        </w:trPr>
        <w:tc>
          <w:tcPr>
            <w:tcW w:w="1911" w:type="dxa"/>
            <w:shd w:val="clear" w:color="auto" w:fill="E7E6E6" w:themeFill="background2"/>
          </w:tcPr>
          <w:p w14:paraId="3D5BE3CA" w14:textId="77777777" w:rsidR="00552E7B" w:rsidRPr="0099632B" w:rsidRDefault="00552E7B" w:rsidP="00552E7B">
            <w:pPr>
              <w:rPr>
                <w:rFonts w:ascii="Arial" w:hAnsi="Arial" w:cs="Arial"/>
              </w:rPr>
            </w:pPr>
            <w:r w:rsidRPr="0099632B">
              <w:rPr>
                <w:rFonts w:ascii="Arial" w:hAnsi="Arial" w:cs="Arial"/>
              </w:rPr>
              <w:t>Queensland</w:t>
            </w:r>
          </w:p>
        </w:tc>
        <w:tc>
          <w:tcPr>
            <w:tcW w:w="1770" w:type="dxa"/>
          </w:tcPr>
          <w:p w14:paraId="093E848B" w14:textId="43E9459A" w:rsidR="00552E7B" w:rsidRPr="0099632B" w:rsidRDefault="00552E7B" w:rsidP="00552E7B">
            <w:pPr>
              <w:rPr>
                <w:rFonts w:ascii="Arial" w:hAnsi="Arial" w:cs="Arial"/>
              </w:rPr>
            </w:pPr>
            <w:r w:rsidRPr="0099632B">
              <w:rPr>
                <w:rFonts w:ascii="Arial" w:hAnsi="Arial" w:cs="Arial"/>
              </w:rPr>
              <w:t>276,800</w:t>
            </w:r>
          </w:p>
        </w:tc>
        <w:tc>
          <w:tcPr>
            <w:tcW w:w="2835" w:type="dxa"/>
          </w:tcPr>
          <w:p w14:paraId="3E6F78E6" w14:textId="372F9880" w:rsidR="00552E7B" w:rsidRPr="0099632B" w:rsidRDefault="00552E7B" w:rsidP="00552E7B">
            <w:pPr>
              <w:rPr>
                <w:rFonts w:ascii="Arial" w:hAnsi="Arial" w:cs="Arial"/>
              </w:rPr>
            </w:pPr>
            <w:r w:rsidRPr="0099632B">
              <w:rPr>
                <w:rFonts w:ascii="Arial" w:hAnsi="Arial" w:cs="Arial"/>
              </w:rPr>
              <w:t xml:space="preserve">Increased 3% compared to 2022-23 financial year </w:t>
            </w:r>
          </w:p>
        </w:tc>
        <w:tc>
          <w:tcPr>
            <w:tcW w:w="3233" w:type="dxa"/>
          </w:tcPr>
          <w:p w14:paraId="557DF66E" w14:textId="7D19DE7D" w:rsidR="00552E7B" w:rsidRPr="0099632B" w:rsidRDefault="00552E7B" w:rsidP="00552E7B">
            <w:pPr>
              <w:rPr>
                <w:rFonts w:ascii="Arial" w:hAnsi="Arial" w:cs="Arial"/>
              </w:rPr>
            </w:pPr>
            <w:r w:rsidRPr="0099632B">
              <w:rPr>
                <w:rFonts w:ascii="Arial" w:hAnsi="Arial" w:cs="Arial"/>
              </w:rPr>
              <w:t xml:space="preserve">Increased 19% compared to 2018-19 financial year </w:t>
            </w:r>
          </w:p>
        </w:tc>
      </w:tr>
      <w:tr w:rsidR="00552E7B" w:rsidRPr="0099632B" w14:paraId="14E151EB" w14:textId="77777777" w:rsidTr="00864874">
        <w:trPr>
          <w:trHeight w:val="340"/>
        </w:trPr>
        <w:tc>
          <w:tcPr>
            <w:tcW w:w="1911" w:type="dxa"/>
            <w:shd w:val="clear" w:color="auto" w:fill="E7E6E6" w:themeFill="background2"/>
          </w:tcPr>
          <w:p w14:paraId="7A375726" w14:textId="77777777" w:rsidR="00552E7B" w:rsidRPr="0099632B" w:rsidRDefault="00552E7B" w:rsidP="00552E7B">
            <w:pPr>
              <w:rPr>
                <w:rFonts w:ascii="Arial" w:hAnsi="Arial" w:cs="Arial"/>
              </w:rPr>
            </w:pPr>
            <w:r w:rsidRPr="0099632B">
              <w:rPr>
                <w:rFonts w:ascii="Arial" w:hAnsi="Arial" w:cs="Arial"/>
              </w:rPr>
              <w:t>South Australia</w:t>
            </w:r>
          </w:p>
        </w:tc>
        <w:tc>
          <w:tcPr>
            <w:tcW w:w="1770" w:type="dxa"/>
          </w:tcPr>
          <w:p w14:paraId="381735DB" w14:textId="5435D765" w:rsidR="00552E7B" w:rsidRPr="0099632B" w:rsidRDefault="00552E7B" w:rsidP="00552E7B">
            <w:pPr>
              <w:rPr>
                <w:rFonts w:ascii="Arial" w:hAnsi="Arial" w:cs="Arial"/>
              </w:rPr>
            </w:pPr>
            <w:r w:rsidRPr="0099632B">
              <w:rPr>
                <w:rFonts w:ascii="Arial" w:hAnsi="Arial" w:cs="Arial"/>
              </w:rPr>
              <w:t>71,500</w:t>
            </w:r>
          </w:p>
        </w:tc>
        <w:tc>
          <w:tcPr>
            <w:tcW w:w="2835" w:type="dxa"/>
          </w:tcPr>
          <w:p w14:paraId="6D79DF82" w14:textId="128C68EF" w:rsidR="00552E7B" w:rsidRPr="0099632B" w:rsidRDefault="00552E7B" w:rsidP="00552E7B">
            <w:pPr>
              <w:rPr>
                <w:rFonts w:ascii="Arial" w:hAnsi="Arial" w:cs="Arial"/>
              </w:rPr>
            </w:pPr>
            <w:r w:rsidRPr="0099632B">
              <w:rPr>
                <w:rFonts w:ascii="Arial" w:hAnsi="Arial" w:cs="Arial"/>
              </w:rPr>
              <w:t xml:space="preserve">Decreased 1% compared to 2022-23 financial year </w:t>
            </w:r>
          </w:p>
        </w:tc>
        <w:tc>
          <w:tcPr>
            <w:tcW w:w="3233" w:type="dxa"/>
          </w:tcPr>
          <w:p w14:paraId="77806CF8" w14:textId="7082DC78" w:rsidR="00552E7B" w:rsidRPr="0099632B" w:rsidRDefault="00552E7B" w:rsidP="00552E7B">
            <w:pPr>
              <w:rPr>
                <w:rFonts w:ascii="Arial" w:hAnsi="Arial" w:cs="Arial"/>
              </w:rPr>
            </w:pPr>
            <w:r w:rsidRPr="0099632B">
              <w:rPr>
                <w:rFonts w:ascii="Arial" w:hAnsi="Arial" w:cs="Arial"/>
              </w:rPr>
              <w:t xml:space="preserve">Increased 12% compared to 2018-19 financial year </w:t>
            </w:r>
          </w:p>
        </w:tc>
      </w:tr>
      <w:tr w:rsidR="00552E7B" w:rsidRPr="0099632B" w14:paraId="26C93A2F" w14:textId="77777777" w:rsidTr="00864874">
        <w:trPr>
          <w:trHeight w:val="340"/>
        </w:trPr>
        <w:tc>
          <w:tcPr>
            <w:tcW w:w="1911" w:type="dxa"/>
            <w:shd w:val="clear" w:color="auto" w:fill="E7E6E6" w:themeFill="background2"/>
          </w:tcPr>
          <w:p w14:paraId="23106689" w14:textId="77777777" w:rsidR="00552E7B" w:rsidRPr="0099632B" w:rsidRDefault="00552E7B" w:rsidP="00552E7B">
            <w:pPr>
              <w:rPr>
                <w:rFonts w:ascii="Arial" w:hAnsi="Arial" w:cs="Arial"/>
              </w:rPr>
            </w:pPr>
            <w:r w:rsidRPr="0099632B">
              <w:rPr>
                <w:rFonts w:ascii="Arial" w:hAnsi="Arial" w:cs="Arial"/>
              </w:rPr>
              <w:t>Western Australia</w:t>
            </w:r>
          </w:p>
        </w:tc>
        <w:tc>
          <w:tcPr>
            <w:tcW w:w="1770" w:type="dxa"/>
          </w:tcPr>
          <w:p w14:paraId="473A5828" w14:textId="62A90E98" w:rsidR="00552E7B" w:rsidRPr="0099632B" w:rsidRDefault="00552E7B" w:rsidP="00552E7B">
            <w:pPr>
              <w:rPr>
                <w:rFonts w:ascii="Arial" w:hAnsi="Arial" w:cs="Arial"/>
              </w:rPr>
            </w:pPr>
            <w:r w:rsidRPr="0099632B">
              <w:rPr>
                <w:rFonts w:ascii="Arial" w:hAnsi="Arial" w:cs="Arial"/>
              </w:rPr>
              <w:t>120,100</w:t>
            </w:r>
          </w:p>
        </w:tc>
        <w:tc>
          <w:tcPr>
            <w:tcW w:w="2835" w:type="dxa"/>
          </w:tcPr>
          <w:p w14:paraId="2454CDD3" w14:textId="7FCEDDB8" w:rsidR="00552E7B" w:rsidRPr="0099632B" w:rsidRDefault="00552E7B" w:rsidP="00552E7B">
            <w:pPr>
              <w:rPr>
                <w:rFonts w:ascii="Arial" w:hAnsi="Arial" w:cs="Arial"/>
              </w:rPr>
            </w:pPr>
            <w:r w:rsidRPr="0099632B">
              <w:rPr>
                <w:rFonts w:ascii="Arial" w:hAnsi="Arial" w:cs="Arial"/>
              </w:rPr>
              <w:t xml:space="preserve">Increased 5% compared to 2022-23 financial year </w:t>
            </w:r>
          </w:p>
        </w:tc>
        <w:tc>
          <w:tcPr>
            <w:tcW w:w="3233" w:type="dxa"/>
          </w:tcPr>
          <w:p w14:paraId="6468E294" w14:textId="29315AEA" w:rsidR="00552E7B" w:rsidRPr="0099632B" w:rsidRDefault="00552E7B" w:rsidP="00552E7B">
            <w:pPr>
              <w:rPr>
                <w:rFonts w:ascii="Arial" w:hAnsi="Arial" w:cs="Arial"/>
              </w:rPr>
            </w:pPr>
            <w:r w:rsidRPr="0099632B">
              <w:rPr>
                <w:rFonts w:ascii="Arial" w:hAnsi="Arial" w:cs="Arial"/>
              </w:rPr>
              <w:t xml:space="preserve">Increased </w:t>
            </w:r>
            <w:r w:rsidR="00FF1518" w:rsidRPr="0099632B">
              <w:rPr>
                <w:rFonts w:ascii="Arial" w:hAnsi="Arial" w:cs="Arial"/>
              </w:rPr>
              <w:t>17</w:t>
            </w:r>
            <w:r w:rsidRPr="0099632B">
              <w:rPr>
                <w:rFonts w:ascii="Arial" w:hAnsi="Arial" w:cs="Arial"/>
              </w:rPr>
              <w:t xml:space="preserve">% compared to 2018-19 financial year </w:t>
            </w:r>
          </w:p>
        </w:tc>
      </w:tr>
      <w:tr w:rsidR="00552E7B" w:rsidRPr="0099632B" w14:paraId="6F9D9EE3" w14:textId="77777777" w:rsidTr="00864874">
        <w:trPr>
          <w:trHeight w:val="340"/>
        </w:trPr>
        <w:tc>
          <w:tcPr>
            <w:tcW w:w="1911" w:type="dxa"/>
            <w:shd w:val="clear" w:color="auto" w:fill="E7E6E6" w:themeFill="background2"/>
          </w:tcPr>
          <w:p w14:paraId="10C9DE91" w14:textId="77777777" w:rsidR="00552E7B" w:rsidRPr="0099632B" w:rsidRDefault="00552E7B" w:rsidP="00552E7B">
            <w:pPr>
              <w:rPr>
                <w:rFonts w:ascii="Arial" w:hAnsi="Arial" w:cs="Arial"/>
              </w:rPr>
            </w:pPr>
            <w:r w:rsidRPr="0099632B">
              <w:rPr>
                <w:rFonts w:ascii="Arial" w:hAnsi="Arial" w:cs="Arial"/>
              </w:rPr>
              <w:t>Tasmania</w:t>
            </w:r>
          </w:p>
        </w:tc>
        <w:tc>
          <w:tcPr>
            <w:tcW w:w="1770" w:type="dxa"/>
          </w:tcPr>
          <w:p w14:paraId="2B6C0AB6" w14:textId="7B5FB071" w:rsidR="00552E7B" w:rsidRPr="0099632B" w:rsidRDefault="00552E7B" w:rsidP="00552E7B">
            <w:pPr>
              <w:rPr>
                <w:rFonts w:ascii="Arial" w:hAnsi="Arial" w:cs="Arial"/>
              </w:rPr>
            </w:pPr>
            <w:r w:rsidRPr="0099632B">
              <w:rPr>
                <w:rFonts w:ascii="Arial" w:hAnsi="Arial" w:cs="Arial"/>
              </w:rPr>
              <w:t>50,800</w:t>
            </w:r>
          </w:p>
        </w:tc>
        <w:tc>
          <w:tcPr>
            <w:tcW w:w="2835" w:type="dxa"/>
          </w:tcPr>
          <w:p w14:paraId="6AE3BE22" w14:textId="746927B9" w:rsidR="00552E7B" w:rsidRPr="0099632B" w:rsidRDefault="00552E7B" w:rsidP="00552E7B">
            <w:pPr>
              <w:rPr>
                <w:rFonts w:ascii="Arial" w:hAnsi="Arial" w:cs="Arial"/>
              </w:rPr>
            </w:pPr>
            <w:r w:rsidRPr="0099632B">
              <w:rPr>
                <w:rFonts w:ascii="Arial" w:hAnsi="Arial" w:cs="Arial"/>
              </w:rPr>
              <w:t xml:space="preserve">Increased 14% compared to 2022-23 financial year </w:t>
            </w:r>
          </w:p>
        </w:tc>
        <w:tc>
          <w:tcPr>
            <w:tcW w:w="3233" w:type="dxa"/>
          </w:tcPr>
          <w:p w14:paraId="3E020C46" w14:textId="0471EECB" w:rsidR="00552E7B" w:rsidRPr="0099632B" w:rsidRDefault="00552E7B" w:rsidP="00552E7B">
            <w:pPr>
              <w:rPr>
                <w:rFonts w:ascii="Arial" w:hAnsi="Arial" w:cs="Arial"/>
              </w:rPr>
            </w:pPr>
            <w:r w:rsidRPr="0099632B">
              <w:rPr>
                <w:rFonts w:ascii="Arial" w:hAnsi="Arial" w:cs="Arial"/>
              </w:rPr>
              <w:t>Increased 1</w:t>
            </w:r>
            <w:r w:rsidR="00FF1518" w:rsidRPr="0099632B">
              <w:rPr>
                <w:rFonts w:ascii="Arial" w:hAnsi="Arial" w:cs="Arial"/>
              </w:rPr>
              <w:t>3</w:t>
            </w:r>
            <w:r w:rsidRPr="0099632B">
              <w:rPr>
                <w:rFonts w:ascii="Arial" w:hAnsi="Arial" w:cs="Arial"/>
              </w:rPr>
              <w:t xml:space="preserve">% compared to 2018-19 financial year </w:t>
            </w:r>
          </w:p>
        </w:tc>
      </w:tr>
      <w:tr w:rsidR="00552E7B" w:rsidRPr="0099632B" w14:paraId="79D921BC" w14:textId="77777777" w:rsidTr="00864874">
        <w:trPr>
          <w:trHeight w:val="340"/>
        </w:trPr>
        <w:tc>
          <w:tcPr>
            <w:tcW w:w="1911" w:type="dxa"/>
            <w:shd w:val="clear" w:color="auto" w:fill="E7E6E6" w:themeFill="background2"/>
          </w:tcPr>
          <w:p w14:paraId="0CE552EB" w14:textId="77777777" w:rsidR="00552E7B" w:rsidRPr="0099632B" w:rsidRDefault="00552E7B" w:rsidP="00552E7B">
            <w:pPr>
              <w:rPr>
                <w:rFonts w:ascii="Arial" w:hAnsi="Arial" w:cs="Arial"/>
              </w:rPr>
            </w:pPr>
            <w:r w:rsidRPr="0099632B">
              <w:rPr>
                <w:rFonts w:ascii="Arial" w:hAnsi="Arial" w:cs="Arial"/>
              </w:rPr>
              <w:t>Northern Territory</w:t>
            </w:r>
          </w:p>
        </w:tc>
        <w:tc>
          <w:tcPr>
            <w:tcW w:w="1770" w:type="dxa"/>
          </w:tcPr>
          <w:p w14:paraId="54AABCF0" w14:textId="3981925C" w:rsidR="00552E7B" w:rsidRPr="0099632B" w:rsidRDefault="00552E7B" w:rsidP="00552E7B">
            <w:pPr>
              <w:rPr>
                <w:rFonts w:ascii="Arial" w:hAnsi="Arial" w:cs="Arial"/>
              </w:rPr>
            </w:pPr>
            <w:r w:rsidRPr="0099632B">
              <w:rPr>
                <w:rFonts w:ascii="Arial" w:hAnsi="Arial" w:cs="Arial"/>
              </w:rPr>
              <w:t>17,000</w:t>
            </w:r>
          </w:p>
        </w:tc>
        <w:tc>
          <w:tcPr>
            <w:tcW w:w="2835" w:type="dxa"/>
          </w:tcPr>
          <w:p w14:paraId="351F2C8A" w14:textId="21C1AF9F" w:rsidR="00552E7B" w:rsidRPr="0099632B" w:rsidRDefault="00552E7B" w:rsidP="00552E7B">
            <w:pPr>
              <w:rPr>
                <w:rFonts w:ascii="Arial" w:hAnsi="Arial" w:cs="Arial"/>
              </w:rPr>
            </w:pPr>
            <w:r w:rsidRPr="0099632B">
              <w:rPr>
                <w:rFonts w:ascii="Arial" w:hAnsi="Arial" w:cs="Arial"/>
              </w:rPr>
              <w:t xml:space="preserve">Increased 4% compared to 2022-23 financial year </w:t>
            </w:r>
          </w:p>
        </w:tc>
        <w:tc>
          <w:tcPr>
            <w:tcW w:w="3233" w:type="dxa"/>
          </w:tcPr>
          <w:p w14:paraId="07FC6C73" w14:textId="0DA01094" w:rsidR="00552E7B" w:rsidRPr="0099632B" w:rsidRDefault="00552E7B" w:rsidP="00552E7B">
            <w:pPr>
              <w:rPr>
                <w:rFonts w:ascii="Arial" w:hAnsi="Arial" w:cs="Arial"/>
              </w:rPr>
            </w:pPr>
            <w:r w:rsidRPr="0099632B">
              <w:rPr>
                <w:rFonts w:ascii="Arial" w:hAnsi="Arial" w:cs="Arial"/>
              </w:rPr>
              <w:t xml:space="preserve">Increased </w:t>
            </w:r>
            <w:r w:rsidR="00FF1518" w:rsidRPr="0099632B">
              <w:rPr>
                <w:rFonts w:ascii="Arial" w:hAnsi="Arial" w:cs="Arial"/>
              </w:rPr>
              <w:t>9</w:t>
            </w:r>
            <w:r w:rsidRPr="0099632B">
              <w:rPr>
                <w:rFonts w:ascii="Arial" w:hAnsi="Arial" w:cs="Arial"/>
              </w:rPr>
              <w:t xml:space="preserve">% compared to 2018-19 financial year </w:t>
            </w:r>
          </w:p>
        </w:tc>
      </w:tr>
      <w:tr w:rsidR="00552E7B" w:rsidRPr="0099632B" w14:paraId="26EBDB58" w14:textId="77777777" w:rsidTr="00864874">
        <w:trPr>
          <w:trHeight w:val="340"/>
        </w:trPr>
        <w:tc>
          <w:tcPr>
            <w:tcW w:w="1911" w:type="dxa"/>
            <w:shd w:val="clear" w:color="auto" w:fill="E7E6E6" w:themeFill="background2"/>
          </w:tcPr>
          <w:p w14:paraId="19F01EB6" w14:textId="77777777" w:rsidR="00552E7B" w:rsidRPr="0099632B" w:rsidRDefault="00552E7B" w:rsidP="00552E7B">
            <w:pPr>
              <w:rPr>
                <w:rFonts w:ascii="Arial" w:hAnsi="Arial" w:cs="Arial"/>
              </w:rPr>
            </w:pPr>
            <w:r w:rsidRPr="0099632B">
              <w:rPr>
                <w:rFonts w:ascii="Arial" w:hAnsi="Arial" w:cs="Arial"/>
              </w:rPr>
              <w:t>ACT</w:t>
            </w:r>
          </w:p>
        </w:tc>
        <w:tc>
          <w:tcPr>
            <w:tcW w:w="1770" w:type="dxa"/>
          </w:tcPr>
          <w:p w14:paraId="2BD6F7DF" w14:textId="2675C9C3" w:rsidR="00552E7B" w:rsidRPr="0099632B" w:rsidRDefault="00552E7B" w:rsidP="00552E7B">
            <w:pPr>
              <w:rPr>
                <w:rFonts w:ascii="Arial" w:hAnsi="Arial" w:cs="Arial"/>
              </w:rPr>
            </w:pPr>
            <w:r w:rsidRPr="0099632B">
              <w:rPr>
                <w:rFonts w:ascii="Arial" w:hAnsi="Arial" w:cs="Arial"/>
              </w:rPr>
              <w:t>22,200</w:t>
            </w:r>
          </w:p>
        </w:tc>
        <w:tc>
          <w:tcPr>
            <w:tcW w:w="2835" w:type="dxa"/>
          </w:tcPr>
          <w:p w14:paraId="70EFF1FD" w14:textId="753A015B" w:rsidR="00552E7B" w:rsidRPr="0099632B" w:rsidRDefault="00552E7B" w:rsidP="00552E7B">
            <w:pPr>
              <w:rPr>
                <w:rFonts w:ascii="Arial" w:hAnsi="Arial" w:cs="Arial"/>
              </w:rPr>
            </w:pPr>
            <w:r w:rsidRPr="0099632B">
              <w:rPr>
                <w:rFonts w:ascii="Arial" w:hAnsi="Arial" w:cs="Arial"/>
              </w:rPr>
              <w:t xml:space="preserve">Increased 5% compared to 2022-23 financial year </w:t>
            </w:r>
          </w:p>
        </w:tc>
        <w:tc>
          <w:tcPr>
            <w:tcW w:w="3233" w:type="dxa"/>
          </w:tcPr>
          <w:p w14:paraId="402357CB" w14:textId="202D5AC4" w:rsidR="00552E7B" w:rsidRPr="0099632B" w:rsidRDefault="00552E7B" w:rsidP="00552E7B">
            <w:pPr>
              <w:rPr>
                <w:rFonts w:ascii="Arial" w:hAnsi="Arial" w:cs="Arial"/>
              </w:rPr>
            </w:pPr>
            <w:r w:rsidRPr="0099632B">
              <w:rPr>
                <w:rFonts w:ascii="Arial" w:hAnsi="Arial" w:cs="Arial"/>
              </w:rPr>
              <w:t xml:space="preserve">Increased </w:t>
            </w:r>
            <w:r w:rsidR="00FF1518" w:rsidRPr="0099632B">
              <w:rPr>
                <w:rFonts w:ascii="Arial" w:hAnsi="Arial" w:cs="Arial"/>
              </w:rPr>
              <w:t>19</w:t>
            </w:r>
            <w:r w:rsidRPr="0099632B">
              <w:rPr>
                <w:rFonts w:ascii="Arial" w:hAnsi="Arial" w:cs="Arial"/>
              </w:rPr>
              <w:t xml:space="preserve">% compared to 2018-19 financial year </w:t>
            </w:r>
          </w:p>
        </w:tc>
      </w:tr>
    </w:tbl>
    <w:p w14:paraId="164B7FA2" w14:textId="04CF4501" w:rsidR="00916B94" w:rsidRPr="00B82E1F" w:rsidRDefault="00C43065" w:rsidP="00313271">
      <w:pPr>
        <w:pStyle w:val="Heading2"/>
        <w:spacing w:before="240" w:after="120"/>
        <w:rPr>
          <w:rFonts w:ascii="Arial" w:eastAsiaTheme="minorHAnsi" w:hAnsi="Arial" w:cs="Arial"/>
          <w:color w:val="002060"/>
        </w:rPr>
      </w:pPr>
      <w:bookmarkStart w:id="74" w:name="_Toc194938482"/>
      <w:r w:rsidRPr="0099632B">
        <w:rPr>
          <w:rFonts w:ascii="Arial" w:eastAsiaTheme="minorHAnsi" w:hAnsi="Arial" w:cs="Arial"/>
          <w:color w:val="002060"/>
        </w:rPr>
        <w:t xml:space="preserve">9.5 </w:t>
      </w:r>
      <w:r w:rsidR="00916B94" w:rsidRPr="0099632B">
        <w:rPr>
          <w:rFonts w:ascii="Arial" w:eastAsiaTheme="minorHAnsi" w:hAnsi="Arial" w:cs="Arial"/>
          <w:color w:val="002060"/>
        </w:rPr>
        <w:t>Industry comparisons</w:t>
      </w:r>
      <w:bookmarkEnd w:id="74"/>
    </w:p>
    <w:p w14:paraId="4536D286" w14:textId="11C4EE99" w:rsidR="00B40B4A" w:rsidRPr="00B82E1F" w:rsidRDefault="00C43065" w:rsidP="00313271">
      <w:pPr>
        <w:pStyle w:val="Heading3"/>
        <w:spacing w:before="240" w:after="120"/>
        <w:rPr>
          <w:rFonts w:ascii="Arial" w:eastAsiaTheme="minorHAnsi" w:hAnsi="Arial" w:cs="Arial"/>
          <w:color w:val="002060"/>
        </w:rPr>
      </w:pPr>
      <w:r w:rsidRPr="00B82E1F">
        <w:rPr>
          <w:rFonts w:ascii="Arial" w:eastAsiaTheme="minorHAnsi" w:hAnsi="Arial" w:cs="Arial"/>
          <w:color w:val="002060"/>
        </w:rPr>
        <w:t xml:space="preserve">9.5.1 </w:t>
      </w:r>
      <w:r w:rsidR="00B40B4A" w:rsidRPr="0099632B">
        <w:rPr>
          <w:rFonts w:ascii="Arial" w:eastAsiaTheme="minorHAnsi" w:hAnsi="Arial" w:cs="Arial"/>
          <w:color w:val="002060"/>
        </w:rPr>
        <w:t xml:space="preserve">Share of industry </w:t>
      </w:r>
      <w:r w:rsidR="0052419F" w:rsidRPr="0099632B">
        <w:rPr>
          <w:rFonts w:ascii="Arial" w:eastAsiaTheme="minorHAnsi" w:hAnsi="Arial" w:cs="Arial"/>
          <w:color w:val="002060"/>
        </w:rPr>
        <w:t>contributions</w:t>
      </w:r>
      <w:r w:rsidR="007F142F" w:rsidRPr="0099632B">
        <w:rPr>
          <w:rFonts w:ascii="Arial" w:eastAsiaTheme="minorHAnsi" w:hAnsi="Arial" w:cs="Arial"/>
          <w:color w:val="002060"/>
        </w:rPr>
        <w:t xml:space="preserve"> to </w:t>
      </w:r>
      <w:r w:rsidR="00EB4E25" w:rsidRPr="0099632B">
        <w:rPr>
          <w:rFonts w:ascii="Arial" w:eastAsiaTheme="minorHAnsi" w:hAnsi="Arial" w:cs="Arial"/>
          <w:color w:val="002060"/>
        </w:rPr>
        <w:t>Victoria’s</w:t>
      </w:r>
      <w:r w:rsidR="007F142F" w:rsidRPr="0099632B">
        <w:rPr>
          <w:rFonts w:ascii="Arial" w:eastAsiaTheme="minorHAnsi" w:hAnsi="Arial" w:cs="Arial"/>
          <w:color w:val="002060"/>
        </w:rPr>
        <w:t xml:space="preserve"> </w:t>
      </w:r>
      <w:r w:rsidR="00576C98" w:rsidRPr="0099632B">
        <w:rPr>
          <w:rFonts w:ascii="Arial" w:eastAsiaTheme="minorHAnsi" w:hAnsi="Arial" w:cs="Arial"/>
          <w:color w:val="002060"/>
        </w:rPr>
        <w:t xml:space="preserve">direct </w:t>
      </w:r>
      <w:r w:rsidR="007F142F" w:rsidRPr="0099632B">
        <w:rPr>
          <w:rFonts w:ascii="Arial" w:eastAsiaTheme="minorHAnsi" w:hAnsi="Arial" w:cs="Arial"/>
          <w:color w:val="002060"/>
        </w:rPr>
        <w:t>Gross V</w:t>
      </w:r>
      <w:r w:rsidR="0052419F" w:rsidRPr="0099632B">
        <w:rPr>
          <w:rFonts w:ascii="Arial" w:eastAsiaTheme="minorHAnsi" w:hAnsi="Arial" w:cs="Arial"/>
          <w:color w:val="002060"/>
        </w:rPr>
        <w:t xml:space="preserve">alue Added (GVA) </w:t>
      </w:r>
      <w:r w:rsidR="00A2187B" w:rsidRPr="0099632B">
        <w:rPr>
          <w:rFonts w:ascii="Arial" w:eastAsiaTheme="minorHAnsi" w:hAnsi="Arial" w:cs="Arial"/>
          <w:color w:val="002060"/>
        </w:rPr>
        <w:t xml:space="preserve">in </w:t>
      </w:r>
      <w:r w:rsidR="0052419F" w:rsidRPr="0099632B">
        <w:rPr>
          <w:rFonts w:ascii="Arial" w:eastAsiaTheme="minorHAnsi" w:hAnsi="Arial" w:cs="Arial"/>
          <w:color w:val="002060"/>
        </w:rPr>
        <w:t>2018-19</w:t>
      </w:r>
      <w:r w:rsidR="00A2187B" w:rsidRPr="0099632B">
        <w:rPr>
          <w:rFonts w:ascii="Arial" w:eastAsiaTheme="minorHAnsi" w:hAnsi="Arial" w:cs="Arial"/>
          <w:color w:val="002060"/>
        </w:rPr>
        <w:t xml:space="preserve">, </w:t>
      </w:r>
      <w:r w:rsidR="001111CF" w:rsidRPr="0099632B">
        <w:rPr>
          <w:rFonts w:ascii="Arial" w:eastAsiaTheme="minorHAnsi" w:hAnsi="Arial" w:cs="Arial"/>
          <w:color w:val="002060"/>
        </w:rPr>
        <w:t>2022-23</w:t>
      </w:r>
      <w:r w:rsidR="00A2187B" w:rsidRPr="0099632B">
        <w:rPr>
          <w:rFonts w:ascii="Arial" w:eastAsiaTheme="minorHAnsi" w:hAnsi="Arial" w:cs="Arial"/>
          <w:color w:val="002060"/>
        </w:rPr>
        <w:t xml:space="preserve"> and </w:t>
      </w:r>
      <w:r w:rsidR="00087CA3" w:rsidRPr="0099632B">
        <w:rPr>
          <w:rFonts w:ascii="Arial" w:eastAsiaTheme="minorHAnsi" w:hAnsi="Arial" w:cs="Arial"/>
          <w:color w:val="002060"/>
        </w:rPr>
        <w:t>2023-24</w:t>
      </w:r>
      <w:r w:rsidR="0052419F" w:rsidRPr="00B82E1F">
        <w:rPr>
          <w:rFonts w:ascii="Arial" w:eastAsiaTheme="minorHAnsi" w:hAnsi="Arial" w:cs="Arial"/>
          <w:color w:val="002060"/>
        </w:rPr>
        <w:t xml:space="preserve"> </w:t>
      </w:r>
    </w:p>
    <w:tbl>
      <w:tblPr>
        <w:tblStyle w:val="TableGrid"/>
        <w:tblpPr w:leftFromText="180" w:rightFromText="180" w:vertAnchor="text" w:horzAnchor="margin" w:tblpY="166"/>
        <w:tblW w:w="9629" w:type="dxa"/>
        <w:tblLook w:val="04A0" w:firstRow="1" w:lastRow="0" w:firstColumn="1" w:lastColumn="0" w:noHBand="0" w:noVBand="1"/>
      </w:tblPr>
      <w:tblGrid>
        <w:gridCol w:w="2830"/>
        <w:gridCol w:w="2410"/>
        <w:gridCol w:w="2126"/>
        <w:gridCol w:w="2263"/>
      </w:tblGrid>
      <w:tr w:rsidR="00DA3D7E" w:rsidRPr="0099632B" w14:paraId="34BE680B" w14:textId="77777777" w:rsidTr="00BA75DB">
        <w:trPr>
          <w:trHeight w:val="428"/>
          <w:tblHeader/>
        </w:trPr>
        <w:tc>
          <w:tcPr>
            <w:tcW w:w="2830" w:type="dxa"/>
            <w:tcBorders>
              <w:bottom w:val="nil"/>
            </w:tcBorders>
            <w:shd w:val="clear" w:color="auto" w:fill="E7E6E6" w:themeFill="background2"/>
          </w:tcPr>
          <w:p w14:paraId="4AD9AEAA" w14:textId="77777777" w:rsidR="00DA3D7E" w:rsidRPr="0099632B" w:rsidRDefault="00DA3D7E" w:rsidP="00DA3D7E">
            <w:pPr>
              <w:rPr>
                <w:rFonts w:ascii="Arial" w:hAnsi="Arial" w:cs="Arial"/>
                <w:b/>
                <w:bCs/>
              </w:rPr>
            </w:pPr>
            <w:bookmarkStart w:id="75" w:name="Title_29" w:colFirst="0" w:colLast="0"/>
            <w:r w:rsidRPr="0099632B">
              <w:rPr>
                <w:rFonts w:ascii="Arial" w:hAnsi="Arial" w:cs="Arial"/>
                <w:b/>
                <w:bCs/>
              </w:rPr>
              <w:t xml:space="preserve">Industry </w:t>
            </w:r>
          </w:p>
        </w:tc>
        <w:tc>
          <w:tcPr>
            <w:tcW w:w="2410" w:type="dxa"/>
            <w:tcBorders>
              <w:bottom w:val="nil"/>
            </w:tcBorders>
            <w:shd w:val="clear" w:color="auto" w:fill="E7E6E6" w:themeFill="background2"/>
          </w:tcPr>
          <w:p w14:paraId="1C0E9956" w14:textId="125291FB" w:rsidR="00DA3D7E" w:rsidRPr="0099632B" w:rsidRDefault="00DA3D7E" w:rsidP="00DA3D7E">
            <w:pPr>
              <w:rPr>
                <w:rFonts w:ascii="Arial" w:hAnsi="Arial" w:cs="Arial"/>
                <w:b/>
                <w:bCs/>
              </w:rPr>
            </w:pPr>
            <w:r w:rsidRPr="0099632B">
              <w:rPr>
                <w:rFonts w:ascii="Arial" w:hAnsi="Arial" w:cs="Arial"/>
                <w:b/>
                <w:bCs/>
              </w:rPr>
              <w:t>% share of Victoria’s GVA in 2018-19</w:t>
            </w:r>
            <w:r w:rsidR="00BA75DB" w:rsidRPr="0099632B">
              <w:rPr>
                <w:rFonts w:ascii="Arial" w:hAnsi="Arial" w:cs="Arial"/>
                <w:b/>
                <w:bCs/>
              </w:rPr>
              <w:t xml:space="preserve"> </w:t>
            </w:r>
          </w:p>
        </w:tc>
        <w:tc>
          <w:tcPr>
            <w:tcW w:w="2126" w:type="dxa"/>
            <w:tcBorders>
              <w:bottom w:val="nil"/>
            </w:tcBorders>
            <w:shd w:val="clear" w:color="auto" w:fill="E7E6E6" w:themeFill="background2"/>
          </w:tcPr>
          <w:p w14:paraId="034AAEB0" w14:textId="1D61FB96" w:rsidR="00DA3D7E" w:rsidRPr="0099632B" w:rsidRDefault="00DA3D7E" w:rsidP="00DA3D7E">
            <w:pPr>
              <w:rPr>
                <w:rFonts w:ascii="Arial" w:hAnsi="Arial" w:cs="Arial"/>
                <w:b/>
                <w:bCs/>
              </w:rPr>
            </w:pPr>
            <w:r w:rsidRPr="0099632B">
              <w:rPr>
                <w:rFonts w:ascii="Arial" w:hAnsi="Arial" w:cs="Arial"/>
                <w:b/>
                <w:bCs/>
              </w:rPr>
              <w:t xml:space="preserve">% share of Victoria’s GVA in </w:t>
            </w:r>
            <w:r w:rsidR="001111CF" w:rsidRPr="0099632B">
              <w:rPr>
                <w:rFonts w:ascii="Arial" w:hAnsi="Arial" w:cs="Arial"/>
                <w:b/>
                <w:bCs/>
              </w:rPr>
              <w:t>2022-23</w:t>
            </w:r>
          </w:p>
        </w:tc>
        <w:tc>
          <w:tcPr>
            <w:tcW w:w="2263" w:type="dxa"/>
            <w:tcBorders>
              <w:bottom w:val="nil"/>
            </w:tcBorders>
            <w:shd w:val="clear" w:color="auto" w:fill="E7E6E6" w:themeFill="background2"/>
          </w:tcPr>
          <w:p w14:paraId="077B0BF0" w14:textId="6A9DC42D" w:rsidR="00DA3D7E" w:rsidRPr="0099632B" w:rsidRDefault="00DA3D7E" w:rsidP="00DA3D7E">
            <w:pPr>
              <w:rPr>
                <w:rFonts w:ascii="Arial" w:hAnsi="Arial" w:cs="Arial"/>
                <w:b/>
                <w:bCs/>
              </w:rPr>
            </w:pPr>
            <w:r w:rsidRPr="0099632B">
              <w:rPr>
                <w:rFonts w:ascii="Arial" w:hAnsi="Arial" w:cs="Arial"/>
                <w:b/>
                <w:bCs/>
              </w:rPr>
              <w:t xml:space="preserve">% share of Victoria’s GVA in </w:t>
            </w:r>
            <w:r w:rsidR="00087CA3" w:rsidRPr="0099632B">
              <w:rPr>
                <w:rFonts w:ascii="Arial" w:hAnsi="Arial" w:cs="Arial"/>
                <w:b/>
                <w:bCs/>
              </w:rPr>
              <w:t>2023-24</w:t>
            </w:r>
          </w:p>
        </w:tc>
      </w:tr>
      <w:bookmarkEnd w:id="75"/>
      <w:tr w:rsidR="00C81EE9" w:rsidRPr="0099632B" w14:paraId="1BD9B8D4" w14:textId="77777777" w:rsidTr="00A2187B">
        <w:tc>
          <w:tcPr>
            <w:tcW w:w="2830" w:type="dxa"/>
            <w:shd w:val="clear" w:color="auto" w:fill="E7E6E6" w:themeFill="background2"/>
          </w:tcPr>
          <w:p w14:paraId="07AA3E40" w14:textId="43DCAB6C" w:rsidR="00C81EE9" w:rsidRPr="0099632B" w:rsidRDefault="00C81EE9" w:rsidP="00C81EE9">
            <w:pPr>
              <w:rPr>
                <w:rFonts w:ascii="Arial" w:hAnsi="Arial" w:cs="Arial"/>
              </w:rPr>
            </w:pPr>
            <w:r w:rsidRPr="0099632B">
              <w:rPr>
                <w:rFonts w:ascii="Arial" w:hAnsi="Arial" w:cs="Arial"/>
              </w:rPr>
              <w:t xml:space="preserve">Health care </w:t>
            </w:r>
            <w:r w:rsidR="001B0A6C" w:rsidRPr="0099632B">
              <w:rPr>
                <w:rFonts w:ascii="Arial" w:hAnsi="Arial" w:cs="Arial"/>
              </w:rPr>
              <w:t>and</w:t>
            </w:r>
            <w:r w:rsidRPr="0099632B">
              <w:rPr>
                <w:rFonts w:ascii="Arial" w:hAnsi="Arial" w:cs="Arial"/>
              </w:rPr>
              <w:t xml:space="preserve"> social assistance</w:t>
            </w:r>
          </w:p>
        </w:tc>
        <w:tc>
          <w:tcPr>
            <w:tcW w:w="2410" w:type="dxa"/>
          </w:tcPr>
          <w:p w14:paraId="2922BEF8" w14:textId="3BC88A1F" w:rsidR="00C81EE9" w:rsidRPr="0099632B" w:rsidRDefault="00C81EE9" w:rsidP="00C81EE9">
            <w:pPr>
              <w:rPr>
                <w:rFonts w:ascii="Arial" w:hAnsi="Arial" w:cs="Arial"/>
              </w:rPr>
            </w:pPr>
            <w:r w:rsidRPr="0099632B">
              <w:rPr>
                <w:rFonts w:ascii="Arial" w:hAnsi="Arial" w:cs="Arial"/>
              </w:rPr>
              <w:t>8.3</w:t>
            </w:r>
          </w:p>
        </w:tc>
        <w:tc>
          <w:tcPr>
            <w:tcW w:w="2126" w:type="dxa"/>
          </w:tcPr>
          <w:p w14:paraId="29615F8A" w14:textId="7F739EE7" w:rsidR="00C81EE9" w:rsidRPr="0099632B" w:rsidRDefault="00C81EE9" w:rsidP="00C81EE9">
            <w:pPr>
              <w:rPr>
                <w:rFonts w:ascii="Arial" w:hAnsi="Arial" w:cs="Arial"/>
              </w:rPr>
            </w:pPr>
            <w:r w:rsidRPr="0099632B">
              <w:rPr>
                <w:rFonts w:ascii="Arial" w:hAnsi="Arial" w:cs="Arial"/>
              </w:rPr>
              <w:t>9.4</w:t>
            </w:r>
          </w:p>
        </w:tc>
        <w:tc>
          <w:tcPr>
            <w:tcW w:w="2263" w:type="dxa"/>
          </w:tcPr>
          <w:p w14:paraId="0B8DDBF6" w14:textId="5E61126F" w:rsidR="00C81EE9" w:rsidRPr="0099632B" w:rsidRDefault="00C81EE9" w:rsidP="00C81EE9">
            <w:pPr>
              <w:rPr>
                <w:rFonts w:ascii="Arial" w:hAnsi="Arial" w:cs="Arial"/>
              </w:rPr>
            </w:pPr>
            <w:r w:rsidRPr="0099632B">
              <w:rPr>
                <w:rFonts w:ascii="Arial" w:hAnsi="Arial" w:cs="Arial"/>
              </w:rPr>
              <w:t>9.7</w:t>
            </w:r>
          </w:p>
        </w:tc>
      </w:tr>
      <w:tr w:rsidR="00C81EE9" w:rsidRPr="0099632B" w14:paraId="303CA5E1" w14:textId="77777777" w:rsidTr="00A2187B">
        <w:trPr>
          <w:trHeight w:val="635"/>
        </w:trPr>
        <w:tc>
          <w:tcPr>
            <w:tcW w:w="2830" w:type="dxa"/>
            <w:shd w:val="clear" w:color="auto" w:fill="E7E6E6" w:themeFill="background2"/>
          </w:tcPr>
          <w:p w14:paraId="0A945F2E" w14:textId="228177B5" w:rsidR="00C81EE9" w:rsidRPr="0099632B" w:rsidRDefault="00C81EE9" w:rsidP="00C81EE9">
            <w:pPr>
              <w:rPr>
                <w:rFonts w:ascii="Arial" w:hAnsi="Arial" w:cs="Arial"/>
              </w:rPr>
            </w:pPr>
            <w:r w:rsidRPr="0099632B">
              <w:rPr>
                <w:rFonts w:ascii="Arial" w:hAnsi="Arial" w:cs="Arial"/>
              </w:rPr>
              <w:t>Financial and insurance services</w:t>
            </w:r>
          </w:p>
        </w:tc>
        <w:tc>
          <w:tcPr>
            <w:tcW w:w="2410" w:type="dxa"/>
          </w:tcPr>
          <w:p w14:paraId="79142A18" w14:textId="0C1078A0" w:rsidR="00C81EE9" w:rsidRPr="0099632B" w:rsidRDefault="00C81EE9" w:rsidP="00C81EE9">
            <w:pPr>
              <w:rPr>
                <w:rFonts w:ascii="Arial" w:hAnsi="Arial" w:cs="Arial"/>
              </w:rPr>
            </w:pPr>
            <w:r w:rsidRPr="0099632B">
              <w:rPr>
                <w:rFonts w:ascii="Arial" w:hAnsi="Arial" w:cs="Arial"/>
              </w:rPr>
              <w:t>9.9</w:t>
            </w:r>
          </w:p>
        </w:tc>
        <w:tc>
          <w:tcPr>
            <w:tcW w:w="2126" w:type="dxa"/>
          </w:tcPr>
          <w:p w14:paraId="6558069C" w14:textId="13D3094D" w:rsidR="00C81EE9" w:rsidRPr="0099632B" w:rsidRDefault="00C81EE9" w:rsidP="00C81EE9">
            <w:pPr>
              <w:rPr>
                <w:rFonts w:ascii="Arial" w:hAnsi="Arial" w:cs="Arial"/>
              </w:rPr>
            </w:pPr>
            <w:r w:rsidRPr="0099632B">
              <w:rPr>
                <w:rFonts w:ascii="Arial" w:hAnsi="Arial" w:cs="Arial"/>
              </w:rPr>
              <w:t>9.6</w:t>
            </w:r>
          </w:p>
        </w:tc>
        <w:tc>
          <w:tcPr>
            <w:tcW w:w="2263" w:type="dxa"/>
          </w:tcPr>
          <w:p w14:paraId="54EF4833" w14:textId="20E40C5E" w:rsidR="00C81EE9" w:rsidRPr="0099632B" w:rsidRDefault="00C81EE9" w:rsidP="00C81EE9">
            <w:pPr>
              <w:rPr>
                <w:rFonts w:ascii="Arial" w:hAnsi="Arial" w:cs="Arial"/>
              </w:rPr>
            </w:pPr>
            <w:r w:rsidRPr="0099632B">
              <w:rPr>
                <w:rFonts w:ascii="Arial" w:hAnsi="Arial" w:cs="Arial"/>
              </w:rPr>
              <w:t>9.6</w:t>
            </w:r>
          </w:p>
        </w:tc>
      </w:tr>
      <w:tr w:rsidR="00C81EE9" w:rsidRPr="0099632B" w14:paraId="6892E609" w14:textId="77777777" w:rsidTr="00A2187B">
        <w:trPr>
          <w:trHeight w:val="633"/>
        </w:trPr>
        <w:tc>
          <w:tcPr>
            <w:tcW w:w="2830" w:type="dxa"/>
            <w:shd w:val="clear" w:color="auto" w:fill="E7E6E6" w:themeFill="background2"/>
          </w:tcPr>
          <w:p w14:paraId="21B47BC3" w14:textId="5C79C464" w:rsidR="00C81EE9" w:rsidRPr="0099632B" w:rsidRDefault="00C81EE9" w:rsidP="00C81EE9">
            <w:pPr>
              <w:rPr>
                <w:rFonts w:ascii="Arial" w:hAnsi="Arial" w:cs="Arial"/>
              </w:rPr>
            </w:pPr>
            <w:r w:rsidRPr="0099632B">
              <w:rPr>
                <w:rFonts w:ascii="Arial" w:hAnsi="Arial" w:cs="Arial"/>
              </w:rPr>
              <w:t>Professional, scientific and technical services</w:t>
            </w:r>
          </w:p>
        </w:tc>
        <w:tc>
          <w:tcPr>
            <w:tcW w:w="2410" w:type="dxa"/>
          </w:tcPr>
          <w:p w14:paraId="23FCA535" w14:textId="1206B825" w:rsidR="00C81EE9" w:rsidRPr="0099632B" w:rsidRDefault="00C81EE9" w:rsidP="00C81EE9">
            <w:pPr>
              <w:rPr>
                <w:rFonts w:ascii="Arial" w:hAnsi="Arial" w:cs="Arial"/>
              </w:rPr>
            </w:pPr>
            <w:r w:rsidRPr="0099632B">
              <w:rPr>
                <w:rFonts w:ascii="Arial" w:hAnsi="Arial" w:cs="Arial"/>
              </w:rPr>
              <w:t>8.4</w:t>
            </w:r>
          </w:p>
        </w:tc>
        <w:tc>
          <w:tcPr>
            <w:tcW w:w="2126" w:type="dxa"/>
          </w:tcPr>
          <w:p w14:paraId="6D63F529" w14:textId="0BD53F07" w:rsidR="00C81EE9" w:rsidRPr="0099632B" w:rsidRDefault="00C81EE9" w:rsidP="00C81EE9">
            <w:pPr>
              <w:rPr>
                <w:rFonts w:ascii="Arial" w:hAnsi="Arial" w:cs="Arial"/>
              </w:rPr>
            </w:pPr>
            <w:r w:rsidRPr="0099632B">
              <w:rPr>
                <w:rFonts w:ascii="Arial" w:hAnsi="Arial" w:cs="Arial"/>
              </w:rPr>
              <w:t>9.4</w:t>
            </w:r>
          </w:p>
        </w:tc>
        <w:tc>
          <w:tcPr>
            <w:tcW w:w="2263" w:type="dxa"/>
          </w:tcPr>
          <w:p w14:paraId="56BD070C" w14:textId="3660B2C3" w:rsidR="00C81EE9" w:rsidRPr="0099632B" w:rsidRDefault="00C81EE9" w:rsidP="00C81EE9">
            <w:pPr>
              <w:rPr>
                <w:rFonts w:ascii="Arial" w:hAnsi="Arial" w:cs="Arial"/>
              </w:rPr>
            </w:pPr>
            <w:r w:rsidRPr="0099632B">
              <w:rPr>
                <w:rFonts w:ascii="Arial" w:hAnsi="Arial" w:cs="Arial"/>
              </w:rPr>
              <w:t>9.4</w:t>
            </w:r>
          </w:p>
        </w:tc>
      </w:tr>
      <w:tr w:rsidR="00C81EE9" w:rsidRPr="0099632B" w14:paraId="2178178C" w14:textId="77777777" w:rsidTr="00A2187B">
        <w:trPr>
          <w:trHeight w:val="629"/>
        </w:trPr>
        <w:tc>
          <w:tcPr>
            <w:tcW w:w="2830" w:type="dxa"/>
            <w:shd w:val="clear" w:color="auto" w:fill="E7E6E6" w:themeFill="background2"/>
          </w:tcPr>
          <w:p w14:paraId="668FE6F2" w14:textId="5484D6CF" w:rsidR="00C81EE9" w:rsidRPr="0099632B" w:rsidRDefault="00C81EE9" w:rsidP="00C81EE9">
            <w:pPr>
              <w:rPr>
                <w:rFonts w:ascii="Arial" w:hAnsi="Arial" w:cs="Arial"/>
              </w:rPr>
            </w:pPr>
            <w:r w:rsidRPr="0099632B">
              <w:rPr>
                <w:rFonts w:ascii="Arial" w:hAnsi="Arial" w:cs="Arial"/>
              </w:rPr>
              <w:lastRenderedPageBreak/>
              <w:t>Construction</w:t>
            </w:r>
          </w:p>
        </w:tc>
        <w:tc>
          <w:tcPr>
            <w:tcW w:w="2410" w:type="dxa"/>
          </w:tcPr>
          <w:p w14:paraId="399BBF89" w14:textId="1B1AF4C4" w:rsidR="00C81EE9" w:rsidRPr="0099632B" w:rsidRDefault="00C81EE9" w:rsidP="00C81EE9">
            <w:pPr>
              <w:rPr>
                <w:rFonts w:ascii="Arial" w:hAnsi="Arial" w:cs="Arial"/>
              </w:rPr>
            </w:pPr>
            <w:r w:rsidRPr="0099632B">
              <w:rPr>
                <w:rFonts w:ascii="Arial" w:hAnsi="Arial" w:cs="Arial"/>
              </w:rPr>
              <w:t>8.6</w:t>
            </w:r>
          </w:p>
        </w:tc>
        <w:tc>
          <w:tcPr>
            <w:tcW w:w="2126" w:type="dxa"/>
          </w:tcPr>
          <w:p w14:paraId="69F9D883" w14:textId="739F74EA" w:rsidR="00C81EE9" w:rsidRPr="0099632B" w:rsidRDefault="00C81EE9" w:rsidP="00C81EE9">
            <w:pPr>
              <w:rPr>
                <w:rFonts w:ascii="Arial" w:hAnsi="Arial" w:cs="Arial"/>
              </w:rPr>
            </w:pPr>
            <w:r w:rsidRPr="0099632B">
              <w:rPr>
                <w:rFonts w:ascii="Arial" w:hAnsi="Arial" w:cs="Arial"/>
              </w:rPr>
              <w:t>8.1</w:t>
            </w:r>
          </w:p>
        </w:tc>
        <w:tc>
          <w:tcPr>
            <w:tcW w:w="2263" w:type="dxa"/>
          </w:tcPr>
          <w:p w14:paraId="34730CEB" w14:textId="276652B7" w:rsidR="00C81EE9" w:rsidRPr="0099632B" w:rsidRDefault="00C81EE9" w:rsidP="00C81EE9">
            <w:pPr>
              <w:rPr>
                <w:rFonts w:ascii="Arial" w:hAnsi="Arial" w:cs="Arial"/>
              </w:rPr>
            </w:pPr>
            <w:r w:rsidRPr="0099632B">
              <w:rPr>
                <w:rFonts w:ascii="Arial" w:hAnsi="Arial" w:cs="Arial"/>
              </w:rPr>
              <w:t>8.3</w:t>
            </w:r>
          </w:p>
        </w:tc>
      </w:tr>
      <w:tr w:rsidR="00C81EE9" w:rsidRPr="0099632B" w14:paraId="3C3EC6DF" w14:textId="77777777" w:rsidTr="00A2187B">
        <w:trPr>
          <w:trHeight w:val="657"/>
        </w:trPr>
        <w:tc>
          <w:tcPr>
            <w:tcW w:w="2830" w:type="dxa"/>
            <w:shd w:val="clear" w:color="auto" w:fill="E7E6E6" w:themeFill="background2"/>
          </w:tcPr>
          <w:p w14:paraId="172C13E7" w14:textId="15231D27" w:rsidR="00C81EE9" w:rsidRPr="0099632B" w:rsidRDefault="00C81EE9" w:rsidP="00C81EE9">
            <w:pPr>
              <w:rPr>
                <w:rFonts w:ascii="Arial" w:hAnsi="Arial" w:cs="Arial"/>
              </w:rPr>
            </w:pPr>
            <w:r w:rsidRPr="0099632B">
              <w:rPr>
                <w:rFonts w:ascii="Arial" w:hAnsi="Arial" w:cs="Arial"/>
              </w:rPr>
              <w:t>Manufacturing</w:t>
            </w:r>
          </w:p>
        </w:tc>
        <w:tc>
          <w:tcPr>
            <w:tcW w:w="2410" w:type="dxa"/>
          </w:tcPr>
          <w:p w14:paraId="110447AF" w14:textId="19302049" w:rsidR="00C81EE9" w:rsidRPr="0099632B" w:rsidRDefault="00C81EE9" w:rsidP="00C81EE9">
            <w:pPr>
              <w:rPr>
                <w:rFonts w:ascii="Arial" w:hAnsi="Arial" w:cs="Arial"/>
              </w:rPr>
            </w:pPr>
            <w:r w:rsidRPr="0099632B">
              <w:rPr>
                <w:rFonts w:ascii="Arial" w:hAnsi="Arial" w:cs="Arial"/>
              </w:rPr>
              <w:t>7.2</w:t>
            </w:r>
          </w:p>
        </w:tc>
        <w:tc>
          <w:tcPr>
            <w:tcW w:w="2126" w:type="dxa"/>
          </w:tcPr>
          <w:p w14:paraId="2D3DEBFF" w14:textId="25052C8F" w:rsidR="00C81EE9" w:rsidRPr="0099632B" w:rsidRDefault="00C81EE9" w:rsidP="00C81EE9">
            <w:pPr>
              <w:rPr>
                <w:rFonts w:ascii="Arial" w:hAnsi="Arial" w:cs="Arial"/>
              </w:rPr>
            </w:pPr>
            <w:r w:rsidRPr="0099632B">
              <w:rPr>
                <w:rFonts w:ascii="Arial" w:hAnsi="Arial" w:cs="Arial"/>
              </w:rPr>
              <w:t>6.9</w:t>
            </w:r>
          </w:p>
        </w:tc>
        <w:tc>
          <w:tcPr>
            <w:tcW w:w="2263" w:type="dxa"/>
          </w:tcPr>
          <w:p w14:paraId="684BDD3F" w14:textId="405334FB" w:rsidR="00C81EE9" w:rsidRPr="0099632B" w:rsidRDefault="00C81EE9" w:rsidP="00C81EE9">
            <w:pPr>
              <w:rPr>
                <w:rFonts w:ascii="Arial" w:hAnsi="Arial" w:cs="Arial"/>
              </w:rPr>
            </w:pPr>
            <w:r w:rsidRPr="0099632B">
              <w:rPr>
                <w:rFonts w:ascii="Arial" w:hAnsi="Arial" w:cs="Arial"/>
              </w:rPr>
              <w:t>7.0</w:t>
            </w:r>
          </w:p>
        </w:tc>
      </w:tr>
      <w:tr w:rsidR="00C81EE9" w:rsidRPr="0099632B" w14:paraId="235D09D3" w14:textId="77777777" w:rsidTr="00A2187B">
        <w:trPr>
          <w:trHeight w:val="657"/>
        </w:trPr>
        <w:tc>
          <w:tcPr>
            <w:tcW w:w="2830" w:type="dxa"/>
            <w:shd w:val="clear" w:color="auto" w:fill="E7E6E6" w:themeFill="background2"/>
          </w:tcPr>
          <w:p w14:paraId="4F602703" w14:textId="09178DBC" w:rsidR="00C81EE9" w:rsidRPr="0099632B" w:rsidRDefault="00C81EE9" w:rsidP="00C81EE9">
            <w:pPr>
              <w:rPr>
                <w:rFonts w:ascii="Arial" w:hAnsi="Arial" w:cs="Arial"/>
              </w:rPr>
            </w:pPr>
            <w:r w:rsidRPr="0099632B">
              <w:rPr>
                <w:rFonts w:ascii="Arial" w:hAnsi="Arial" w:cs="Arial"/>
              </w:rPr>
              <w:t xml:space="preserve">Education </w:t>
            </w:r>
            <w:r w:rsidR="001B0A6C" w:rsidRPr="0099632B">
              <w:rPr>
                <w:rFonts w:ascii="Arial" w:hAnsi="Arial" w:cs="Arial"/>
              </w:rPr>
              <w:t>and</w:t>
            </w:r>
            <w:r w:rsidRPr="0099632B">
              <w:rPr>
                <w:rFonts w:ascii="Arial" w:hAnsi="Arial" w:cs="Arial"/>
              </w:rPr>
              <w:t xml:space="preserve"> training</w:t>
            </w:r>
          </w:p>
        </w:tc>
        <w:tc>
          <w:tcPr>
            <w:tcW w:w="2410" w:type="dxa"/>
          </w:tcPr>
          <w:p w14:paraId="36C57B4D" w14:textId="369F1183" w:rsidR="00C81EE9" w:rsidRPr="0099632B" w:rsidRDefault="00C81EE9" w:rsidP="00C81EE9">
            <w:pPr>
              <w:rPr>
                <w:rFonts w:ascii="Arial" w:hAnsi="Arial" w:cs="Arial"/>
              </w:rPr>
            </w:pPr>
            <w:r w:rsidRPr="0099632B">
              <w:rPr>
                <w:rFonts w:ascii="Arial" w:hAnsi="Arial" w:cs="Arial"/>
              </w:rPr>
              <w:t>5.5</w:t>
            </w:r>
          </w:p>
        </w:tc>
        <w:tc>
          <w:tcPr>
            <w:tcW w:w="2126" w:type="dxa"/>
          </w:tcPr>
          <w:p w14:paraId="0AC776F3" w14:textId="4B21642C" w:rsidR="00C81EE9" w:rsidRPr="0099632B" w:rsidRDefault="00C81EE9" w:rsidP="00C81EE9">
            <w:pPr>
              <w:rPr>
                <w:rFonts w:ascii="Arial" w:hAnsi="Arial" w:cs="Arial"/>
              </w:rPr>
            </w:pPr>
            <w:r w:rsidRPr="0099632B">
              <w:rPr>
                <w:rFonts w:ascii="Arial" w:hAnsi="Arial" w:cs="Arial"/>
              </w:rPr>
              <w:t>5.5</w:t>
            </w:r>
          </w:p>
        </w:tc>
        <w:tc>
          <w:tcPr>
            <w:tcW w:w="2263" w:type="dxa"/>
          </w:tcPr>
          <w:p w14:paraId="58EB0C4C" w14:textId="16D9C120" w:rsidR="00C81EE9" w:rsidRPr="0099632B" w:rsidRDefault="00C81EE9" w:rsidP="00C81EE9">
            <w:pPr>
              <w:rPr>
                <w:rFonts w:ascii="Arial" w:hAnsi="Arial" w:cs="Arial"/>
              </w:rPr>
            </w:pPr>
            <w:r w:rsidRPr="0099632B">
              <w:rPr>
                <w:rFonts w:ascii="Arial" w:hAnsi="Arial" w:cs="Arial"/>
              </w:rPr>
              <w:t>5.6</w:t>
            </w:r>
          </w:p>
        </w:tc>
      </w:tr>
      <w:tr w:rsidR="00C81EE9" w:rsidRPr="0099632B" w14:paraId="0FD8E571" w14:textId="77777777" w:rsidTr="00A2187B">
        <w:trPr>
          <w:trHeight w:val="657"/>
        </w:trPr>
        <w:tc>
          <w:tcPr>
            <w:tcW w:w="2830" w:type="dxa"/>
            <w:shd w:val="clear" w:color="auto" w:fill="E7E6E6" w:themeFill="background2"/>
          </w:tcPr>
          <w:p w14:paraId="434E9C60" w14:textId="03A5AF11" w:rsidR="00C81EE9" w:rsidRPr="0099632B" w:rsidRDefault="00C81EE9" w:rsidP="00C81EE9">
            <w:pPr>
              <w:rPr>
                <w:rFonts w:ascii="Arial" w:hAnsi="Arial" w:cs="Arial"/>
              </w:rPr>
            </w:pPr>
            <w:r w:rsidRPr="0099632B">
              <w:rPr>
                <w:rFonts w:ascii="Arial" w:hAnsi="Arial" w:cs="Arial"/>
              </w:rPr>
              <w:t>Agriculture, forestry and fishing</w:t>
            </w:r>
          </w:p>
        </w:tc>
        <w:tc>
          <w:tcPr>
            <w:tcW w:w="2410" w:type="dxa"/>
          </w:tcPr>
          <w:p w14:paraId="39D1D59C" w14:textId="3E1CF336" w:rsidR="00C81EE9" w:rsidRPr="0099632B" w:rsidRDefault="00C81EE9" w:rsidP="00C81EE9">
            <w:pPr>
              <w:rPr>
                <w:rFonts w:ascii="Arial" w:hAnsi="Arial" w:cs="Arial"/>
              </w:rPr>
            </w:pPr>
            <w:r w:rsidRPr="0099632B">
              <w:rPr>
                <w:rFonts w:ascii="Arial" w:hAnsi="Arial" w:cs="Arial"/>
              </w:rPr>
              <w:t>2.1</w:t>
            </w:r>
          </w:p>
        </w:tc>
        <w:tc>
          <w:tcPr>
            <w:tcW w:w="2126" w:type="dxa"/>
          </w:tcPr>
          <w:p w14:paraId="249EFE98" w14:textId="7D57210B" w:rsidR="00C81EE9" w:rsidRPr="0099632B" w:rsidRDefault="00C81EE9" w:rsidP="00C81EE9">
            <w:pPr>
              <w:rPr>
                <w:rFonts w:ascii="Arial" w:hAnsi="Arial" w:cs="Arial"/>
              </w:rPr>
            </w:pPr>
            <w:r w:rsidRPr="0099632B">
              <w:rPr>
                <w:rFonts w:ascii="Arial" w:hAnsi="Arial" w:cs="Arial"/>
              </w:rPr>
              <w:t>2.6</w:t>
            </w:r>
          </w:p>
        </w:tc>
        <w:tc>
          <w:tcPr>
            <w:tcW w:w="2263" w:type="dxa"/>
          </w:tcPr>
          <w:p w14:paraId="6C94C10E" w14:textId="79CA9682" w:rsidR="00C81EE9" w:rsidRPr="0099632B" w:rsidRDefault="00C81EE9" w:rsidP="00C81EE9">
            <w:pPr>
              <w:rPr>
                <w:rFonts w:ascii="Arial" w:hAnsi="Arial" w:cs="Arial"/>
              </w:rPr>
            </w:pPr>
            <w:r w:rsidRPr="0099632B">
              <w:rPr>
                <w:rFonts w:ascii="Arial" w:hAnsi="Arial" w:cs="Arial"/>
              </w:rPr>
              <w:t>2.4</w:t>
            </w:r>
          </w:p>
        </w:tc>
      </w:tr>
      <w:tr w:rsidR="00C81EE9" w:rsidRPr="0099632B" w14:paraId="7FCF0ABA" w14:textId="77777777" w:rsidTr="00A2187B">
        <w:trPr>
          <w:trHeight w:val="657"/>
        </w:trPr>
        <w:tc>
          <w:tcPr>
            <w:tcW w:w="2830" w:type="dxa"/>
            <w:shd w:val="clear" w:color="auto" w:fill="E7E6E6" w:themeFill="background2"/>
          </w:tcPr>
          <w:p w14:paraId="0EE6DB79" w14:textId="72BDA910" w:rsidR="00C81EE9" w:rsidRPr="0099632B" w:rsidRDefault="00C81EE9" w:rsidP="00C81EE9">
            <w:pPr>
              <w:rPr>
                <w:rFonts w:ascii="Arial" w:hAnsi="Arial" w:cs="Arial"/>
              </w:rPr>
            </w:pPr>
            <w:r w:rsidRPr="0099632B">
              <w:rPr>
                <w:rFonts w:ascii="Arial" w:hAnsi="Arial" w:cs="Arial"/>
              </w:rPr>
              <w:t>Mining</w:t>
            </w:r>
          </w:p>
        </w:tc>
        <w:tc>
          <w:tcPr>
            <w:tcW w:w="2410" w:type="dxa"/>
          </w:tcPr>
          <w:p w14:paraId="497E6602" w14:textId="647DD152" w:rsidR="00C81EE9" w:rsidRPr="0099632B" w:rsidRDefault="00C81EE9" w:rsidP="00C81EE9">
            <w:pPr>
              <w:rPr>
                <w:rFonts w:ascii="Arial" w:hAnsi="Arial" w:cs="Arial"/>
              </w:rPr>
            </w:pPr>
            <w:r w:rsidRPr="0099632B">
              <w:rPr>
                <w:rFonts w:ascii="Arial" w:hAnsi="Arial" w:cs="Arial"/>
              </w:rPr>
              <w:t>1.4</w:t>
            </w:r>
          </w:p>
        </w:tc>
        <w:tc>
          <w:tcPr>
            <w:tcW w:w="2126" w:type="dxa"/>
          </w:tcPr>
          <w:p w14:paraId="148D8418" w14:textId="6C7409C6" w:rsidR="00C81EE9" w:rsidRPr="0099632B" w:rsidRDefault="00C81EE9" w:rsidP="00C81EE9">
            <w:pPr>
              <w:rPr>
                <w:rFonts w:ascii="Arial" w:hAnsi="Arial" w:cs="Arial"/>
              </w:rPr>
            </w:pPr>
            <w:r w:rsidRPr="0099632B">
              <w:rPr>
                <w:rFonts w:ascii="Arial" w:hAnsi="Arial" w:cs="Arial"/>
              </w:rPr>
              <w:t>1.7</w:t>
            </w:r>
          </w:p>
        </w:tc>
        <w:tc>
          <w:tcPr>
            <w:tcW w:w="2263" w:type="dxa"/>
          </w:tcPr>
          <w:p w14:paraId="4C75E662" w14:textId="52FAEF3A" w:rsidR="00C81EE9" w:rsidRPr="0099632B" w:rsidRDefault="00C81EE9" w:rsidP="00C81EE9">
            <w:pPr>
              <w:rPr>
                <w:rFonts w:ascii="Arial" w:hAnsi="Arial" w:cs="Arial"/>
              </w:rPr>
            </w:pPr>
            <w:r w:rsidRPr="0099632B">
              <w:rPr>
                <w:rFonts w:ascii="Arial" w:hAnsi="Arial" w:cs="Arial"/>
              </w:rPr>
              <w:t>0.9</w:t>
            </w:r>
          </w:p>
        </w:tc>
      </w:tr>
      <w:tr w:rsidR="006A4BA8" w:rsidRPr="0099632B" w14:paraId="336A3439" w14:textId="77777777" w:rsidTr="00A2187B">
        <w:trPr>
          <w:trHeight w:val="657"/>
        </w:trPr>
        <w:tc>
          <w:tcPr>
            <w:tcW w:w="2830" w:type="dxa"/>
            <w:shd w:val="clear" w:color="auto" w:fill="E7E6E6" w:themeFill="background2"/>
          </w:tcPr>
          <w:p w14:paraId="44DB7E07" w14:textId="77777777" w:rsidR="006A4BA8" w:rsidRPr="0099632B" w:rsidRDefault="006A4BA8" w:rsidP="006A4BA8">
            <w:pPr>
              <w:rPr>
                <w:rFonts w:ascii="Arial" w:hAnsi="Arial" w:cs="Arial"/>
              </w:rPr>
            </w:pPr>
            <w:r w:rsidRPr="0099632B">
              <w:rPr>
                <w:rFonts w:ascii="Arial" w:hAnsi="Arial" w:cs="Arial"/>
              </w:rPr>
              <w:t xml:space="preserve">Tourism – Direct </w:t>
            </w:r>
          </w:p>
        </w:tc>
        <w:tc>
          <w:tcPr>
            <w:tcW w:w="2410" w:type="dxa"/>
          </w:tcPr>
          <w:p w14:paraId="337EA125" w14:textId="5DC3F327" w:rsidR="006A4BA8" w:rsidRPr="0099632B" w:rsidRDefault="006A4BA8" w:rsidP="006A4BA8">
            <w:pPr>
              <w:rPr>
                <w:rFonts w:ascii="Arial" w:hAnsi="Arial" w:cs="Arial"/>
              </w:rPr>
            </w:pPr>
            <w:r w:rsidRPr="0099632B">
              <w:rPr>
                <w:rFonts w:ascii="Arial" w:hAnsi="Arial" w:cs="Arial"/>
              </w:rPr>
              <w:t>2.9</w:t>
            </w:r>
          </w:p>
        </w:tc>
        <w:tc>
          <w:tcPr>
            <w:tcW w:w="2126" w:type="dxa"/>
          </w:tcPr>
          <w:p w14:paraId="35F628E9" w14:textId="504D7353" w:rsidR="006A4BA8" w:rsidRPr="0099632B" w:rsidRDefault="006A4BA8" w:rsidP="006A4BA8">
            <w:pPr>
              <w:rPr>
                <w:rFonts w:ascii="Arial" w:hAnsi="Arial" w:cs="Arial"/>
              </w:rPr>
            </w:pPr>
            <w:r w:rsidRPr="0099632B">
              <w:rPr>
                <w:rFonts w:ascii="Arial" w:hAnsi="Arial" w:cs="Arial"/>
              </w:rPr>
              <w:t>2.5</w:t>
            </w:r>
          </w:p>
        </w:tc>
        <w:tc>
          <w:tcPr>
            <w:tcW w:w="2263" w:type="dxa"/>
          </w:tcPr>
          <w:p w14:paraId="60F7EE3E" w14:textId="3DEE5AED" w:rsidR="006A4BA8" w:rsidRPr="0099632B" w:rsidRDefault="006A4BA8" w:rsidP="006A4BA8">
            <w:pPr>
              <w:rPr>
                <w:rFonts w:ascii="Arial" w:hAnsi="Arial" w:cs="Arial"/>
              </w:rPr>
            </w:pPr>
            <w:r w:rsidRPr="0099632B">
              <w:rPr>
                <w:rFonts w:ascii="Arial" w:hAnsi="Arial" w:cs="Arial"/>
              </w:rPr>
              <w:t>2.7</w:t>
            </w:r>
          </w:p>
        </w:tc>
      </w:tr>
      <w:tr w:rsidR="006A4BA8" w:rsidRPr="0099632B" w14:paraId="2802E6A6" w14:textId="77777777" w:rsidTr="00A2187B">
        <w:trPr>
          <w:trHeight w:val="657"/>
        </w:trPr>
        <w:tc>
          <w:tcPr>
            <w:tcW w:w="2830" w:type="dxa"/>
            <w:shd w:val="clear" w:color="auto" w:fill="E7E6E6" w:themeFill="background2"/>
          </w:tcPr>
          <w:p w14:paraId="0C622B1A" w14:textId="31CD8681" w:rsidR="006A4BA8" w:rsidRPr="0099632B" w:rsidRDefault="006A4BA8" w:rsidP="006A4BA8">
            <w:pPr>
              <w:rPr>
                <w:rFonts w:ascii="Arial" w:hAnsi="Arial" w:cs="Arial"/>
                <w:b/>
                <w:bCs/>
              </w:rPr>
            </w:pPr>
            <w:r w:rsidRPr="0099632B">
              <w:rPr>
                <w:rFonts w:ascii="Arial" w:hAnsi="Arial" w:cs="Arial"/>
                <w:b/>
                <w:bCs/>
              </w:rPr>
              <w:t>Tourism – Total (direct and indirect)</w:t>
            </w:r>
          </w:p>
        </w:tc>
        <w:tc>
          <w:tcPr>
            <w:tcW w:w="2410" w:type="dxa"/>
          </w:tcPr>
          <w:p w14:paraId="2D1C475C" w14:textId="6763C4A7" w:rsidR="006A4BA8" w:rsidRPr="0099632B" w:rsidRDefault="006A4BA8" w:rsidP="006A4BA8">
            <w:pPr>
              <w:rPr>
                <w:rFonts w:ascii="Arial" w:hAnsi="Arial" w:cs="Arial"/>
                <w:b/>
                <w:bCs/>
              </w:rPr>
            </w:pPr>
            <w:r w:rsidRPr="0099632B">
              <w:rPr>
                <w:rFonts w:ascii="Arial" w:hAnsi="Arial" w:cs="Arial"/>
                <w:b/>
                <w:bCs/>
              </w:rPr>
              <w:t>6.1</w:t>
            </w:r>
          </w:p>
        </w:tc>
        <w:tc>
          <w:tcPr>
            <w:tcW w:w="2126" w:type="dxa"/>
          </w:tcPr>
          <w:p w14:paraId="7C3959F7" w14:textId="29E07D3E" w:rsidR="006A4BA8" w:rsidRPr="0099632B" w:rsidRDefault="006A4BA8" w:rsidP="006A4BA8">
            <w:pPr>
              <w:rPr>
                <w:rFonts w:ascii="Arial" w:hAnsi="Arial" w:cs="Arial"/>
                <w:b/>
                <w:bCs/>
              </w:rPr>
            </w:pPr>
            <w:r w:rsidRPr="0099632B">
              <w:rPr>
                <w:rFonts w:ascii="Arial" w:hAnsi="Arial" w:cs="Arial"/>
                <w:b/>
                <w:bCs/>
              </w:rPr>
              <w:t>5.3</w:t>
            </w:r>
          </w:p>
        </w:tc>
        <w:tc>
          <w:tcPr>
            <w:tcW w:w="2263" w:type="dxa"/>
          </w:tcPr>
          <w:p w14:paraId="0498CC08" w14:textId="1A1A90B4" w:rsidR="006A4BA8" w:rsidRPr="0099632B" w:rsidRDefault="006A4BA8" w:rsidP="006A4BA8">
            <w:pPr>
              <w:rPr>
                <w:rFonts w:ascii="Arial" w:hAnsi="Arial" w:cs="Arial"/>
                <w:b/>
                <w:bCs/>
              </w:rPr>
            </w:pPr>
            <w:r w:rsidRPr="0099632B">
              <w:rPr>
                <w:rFonts w:ascii="Arial" w:hAnsi="Arial" w:cs="Arial"/>
                <w:b/>
                <w:bCs/>
              </w:rPr>
              <w:t>5.6</w:t>
            </w:r>
          </w:p>
        </w:tc>
      </w:tr>
    </w:tbl>
    <w:p w14:paraId="7C04ACC6" w14:textId="276B2833" w:rsidR="00DA3D7E" w:rsidRPr="0099632B" w:rsidRDefault="00DA3D7E" w:rsidP="00BC556B">
      <w:pPr>
        <w:pStyle w:val="NoSpacing"/>
        <w:rPr>
          <w:rFonts w:ascii="Arial" w:hAnsi="Arial" w:cs="Arial"/>
        </w:rPr>
      </w:pPr>
    </w:p>
    <w:p w14:paraId="02AD1010" w14:textId="07C5B0CB" w:rsidR="00A75F8F" w:rsidRPr="0099632B" w:rsidRDefault="00C43065" w:rsidP="00E871DA">
      <w:pPr>
        <w:pStyle w:val="Heading3"/>
        <w:rPr>
          <w:rFonts w:ascii="Arial" w:eastAsiaTheme="minorHAnsi" w:hAnsi="Arial" w:cs="Arial"/>
          <w:color w:val="002060"/>
        </w:rPr>
      </w:pPr>
      <w:r w:rsidRPr="0099632B">
        <w:rPr>
          <w:rFonts w:ascii="Arial" w:eastAsiaTheme="minorHAnsi" w:hAnsi="Arial" w:cs="Arial"/>
          <w:color w:val="002060"/>
        </w:rPr>
        <w:t xml:space="preserve">9.5.2 </w:t>
      </w:r>
      <w:r w:rsidR="00142E69" w:rsidRPr="0099632B">
        <w:rPr>
          <w:rFonts w:ascii="Arial" w:eastAsiaTheme="minorHAnsi" w:hAnsi="Arial" w:cs="Arial"/>
          <w:color w:val="002060"/>
        </w:rPr>
        <w:t>Percentage</w:t>
      </w:r>
      <w:r w:rsidR="00A75F8F" w:rsidRPr="0099632B">
        <w:rPr>
          <w:rFonts w:ascii="Arial" w:eastAsiaTheme="minorHAnsi" w:hAnsi="Arial" w:cs="Arial"/>
          <w:color w:val="002060"/>
        </w:rPr>
        <w:t xml:space="preserve"> change in share of industry contributions to Victoria’s </w:t>
      </w:r>
      <w:r w:rsidR="00576C98" w:rsidRPr="0099632B">
        <w:rPr>
          <w:rFonts w:ascii="Arial" w:eastAsiaTheme="minorHAnsi" w:hAnsi="Arial" w:cs="Arial"/>
          <w:color w:val="002060"/>
        </w:rPr>
        <w:t xml:space="preserve">direct </w:t>
      </w:r>
      <w:r w:rsidR="00A75F8F" w:rsidRPr="0099632B">
        <w:rPr>
          <w:rFonts w:ascii="Arial" w:eastAsiaTheme="minorHAnsi" w:hAnsi="Arial" w:cs="Arial"/>
          <w:color w:val="002060"/>
        </w:rPr>
        <w:t xml:space="preserve">Gross Value Added (GVA) </w:t>
      </w:r>
      <w:r w:rsidR="008B7105" w:rsidRPr="0099632B">
        <w:rPr>
          <w:rFonts w:ascii="Arial" w:eastAsiaTheme="minorHAnsi" w:hAnsi="Arial" w:cs="Arial"/>
          <w:color w:val="002060"/>
        </w:rPr>
        <w:t xml:space="preserve">in </w:t>
      </w:r>
      <w:r w:rsidR="00087CA3" w:rsidRPr="0099632B">
        <w:rPr>
          <w:rFonts w:ascii="Arial" w:eastAsiaTheme="minorHAnsi" w:hAnsi="Arial" w:cs="Arial"/>
          <w:color w:val="002060"/>
        </w:rPr>
        <w:t>2023-24</w:t>
      </w:r>
      <w:r w:rsidR="008B7105" w:rsidRPr="0099632B">
        <w:rPr>
          <w:rFonts w:ascii="Arial" w:eastAsiaTheme="minorHAnsi" w:hAnsi="Arial" w:cs="Arial"/>
          <w:color w:val="002060"/>
        </w:rPr>
        <w:t xml:space="preserve"> </w:t>
      </w:r>
      <w:r w:rsidR="00A75F8F" w:rsidRPr="0099632B">
        <w:rPr>
          <w:rFonts w:ascii="Arial" w:eastAsiaTheme="minorHAnsi" w:hAnsi="Arial" w:cs="Arial"/>
          <w:color w:val="002060"/>
        </w:rPr>
        <w:t xml:space="preserve">compared to </w:t>
      </w:r>
      <w:r w:rsidR="001111CF" w:rsidRPr="0099632B">
        <w:rPr>
          <w:rFonts w:ascii="Arial" w:eastAsiaTheme="minorHAnsi" w:hAnsi="Arial" w:cs="Arial"/>
          <w:color w:val="002060"/>
        </w:rPr>
        <w:t>2022-23</w:t>
      </w:r>
      <w:r w:rsidR="00A75F8F" w:rsidRPr="0099632B">
        <w:rPr>
          <w:rFonts w:ascii="Arial" w:eastAsiaTheme="minorHAnsi" w:hAnsi="Arial" w:cs="Arial"/>
          <w:color w:val="002060"/>
        </w:rPr>
        <w:t xml:space="preserve"> and 20</w:t>
      </w:r>
      <w:r w:rsidR="0067416F" w:rsidRPr="0099632B">
        <w:rPr>
          <w:rFonts w:ascii="Arial" w:eastAsiaTheme="minorHAnsi" w:hAnsi="Arial" w:cs="Arial"/>
          <w:color w:val="002060"/>
        </w:rPr>
        <w:t>18-19</w:t>
      </w:r>
    </w:p>
    <w:tbl>
      <w:tblPr>
        <w:tblStyle w:val="TableGrid"/>
        <w:tblpPr w:leftFromText="180" w:rightFromText="180" w:vertAnchor="text" w:horzAnchor="margin" w:tblpY="166"/>
        <w:tblW w:w="9498" w:type="dxa"/>
        <w:tblLook w:val="04A0" w:firstRow="1" w:lastRow="0" w:firstColumn="1" w:lastColumn="0" w:noHBand="0" w:noVBand="1"/>
      </w:tblPr>
      <w:tblGrid>
        <w:gridCol w:w="3256"/>
        <w:gridCol w:w="3118"/>
        <w:gridCol w:w="3124"/>
      </w:tblGrid>
      <w:tr w:rsidR="00A75F8F" w:rsidRPr="00B82E1F" w14:paraId="367A19AA" w14:textId="77777777" w:rsidTr="0050447C">
        <w:trPr>
          <w:trHeight w:val="428"/>
          <w:tblHeader/>
        </w:trPr>
        <w:tc>
          <w:tcPr>
            <w:tcW w:w="3256" w:type="dxa"/>
            <w:tcBorders>
              <w:bottom w:val="nil"/>
            </w:tcBorders>
            <w:shd w:val="clear" w:color="auto" w:fill="E7E6E6" w:themeFill="background2"/>
          </w:tcPr>
          <w:p w14:paraId="444DDA3A" w14:textId="77777777" w:rsidR="00A75F8F" w:rsidRPr="0099632B" w:rsidRDefault="00A75F8F" w:rsidP="004A110B">
            <w:pPr>
              <w:rPr>
                <w:rFonts w:ascii="Arial" w:hAnsi="Arial" w:cs="Arial"/>
                <w:b/>
                <w:bCs/>
              </w:rPr>
            </w:pPr>
            <w:bookmarkStart w:id="76" w:name="Title_30" w:colFirst="0" w:colLast="0"/>
            <w:r w:rsidRPr="0099632B">
              <w:rPr>
                <w:rFonts w:ascii="Arial" w:hAnsi="Arial" w:cs="Arial"/>
                <w:b/>
                <w:bCs/>
              </w:rPr>
              <w:t xml:space="preserve">Industry </w:t>
            </w:r>
          </w:p>
        </w:tc>
        <w:tc>
          <w:tcPr>
            <w:tcW w:w="3118" w:type="dxa"/>
            <w:tcBorders>
              <w:bottom w:val="nil"/>
            </w:tcBorders>
            <w:shd w:val="clear" w:color="auto" w:fill="E7E6E6" w:themeFill="background2"/>
          </w:tcPr>
          <w:p w14:paraId="79B9C78C" w14:textId="2E12D7C7" w:rsidR="00A75F8F" w:rsidRPr="0099632B" w:rsidRDefault="00A75F8F" w:rsidP="004A110B">
            <w:pPr>
              <w:rPr>
                <w:rFonts w:ascii="Arial" w:hAnsi="Arial" w:cs="Arial"/>
                <w:b/>
                <w:bCs/>
              </w:rPr>
            </w:pPr>
            <w:r w:rsidRPr="0099632B">
              <w:rPr>
                <w:rFonts w:ascii="Arial" w:hAnsi="Arial" w:cs="Arial"/>
                <w:b/>
                <w:bCs/>
              </w:rPr>
              <w:t xml:space="preserve">% point change compared to </w:t>
            </w:r>
            <w:r w:rsidR="001111CF" w:rsidRPr="0099632B">
              <w:rPr>
                <w:rFonts w:ascii="Arial" w:hAnsi="Arial" w:cs="Arial"/>
                <w:b/>
                <w:bCs/>
              </w:rPr>
              <w:t>2022-23</w:t>
            </w:r>
          </w:p>
        </w:tc>
        <w:tc>
          <w:tcPr>
            <w:tcW w:w="3124" w:type="dxa"/>
            <w:tcBorders>
              <w:bottom w:val="nil"/>
            </w:tcBorders>
            <w:shd w:val="clear" w:color="auto" w:fill="E7E6E6" w:themeFill="background2"/>
          </w:tcPr>
          <w:p w14:paraId="67294CF4" w14:textId="77777777" w:rsidR="00A75F8F" w:rsidRPr="0099632B" w:rsidRDefault="00A75F8F" w:rsidP="004A110B">
            <w:pPr>
              <w:rPr>
                <w:rFonts w:ascii="Arial" w:hAnsi="Arial" w:cs="Arial"/>
                <w:b/>
                <w:bCs/>
              </w:rPr>
            </w:pPr>
            <w:r w:rsidRPr="0099632B">
              <w:rPr>
                <w:rFonts w:ascii="Arial" w:hAnsi="Arial" w:cs="Arial"/>
                <w:b/>
                <w:bCs/>
              </w:rPr>
              <w:t>% point change compared to 2018-19</w:t>
            </w:r>
          </w:p>
        </w:tc>
      </w:tr>
      <w:bookmarkEnd w:id="76"/>
      <w:tr w:rsidR="002B675D" w:rsidRPr="00B82E1F" w14:paraId="68467494" w14:textId="77777777" w:rsidTr="0050447C">
        <w:tc>
          <w:tcPr>
            <w:tcW w:w="3256" w:type="dxa"/>
            <w:shd w:val="clear" w:color="auto" w:fill="E7E6E6" w:themeFill="background2"/>
          </w:tcPr>
          <w:p w14:paraId="05374D40" w14:textId="46D91164" w:rsidR="002B675D" w:rsidRPr="0099632B" w:rsidRDefault="002B675D" w:rsidP="002B675D">
            <w:pPr>
              <w:rPr>
                <w:rFonts w:ascii="Arial" w:hAnsi="Arial" w:cs="Arial"/>
              </w:rPr>
            </w:pPr>
            <w:r w:rsidRPr="0099632B">
              <w:rPr>
                <w:rFonts w:ascii="Arial" w:hAnsi="Arial" w:cs="Arial"/>
              </w:rPr>
              <w:t xml:space="preserve">Health care </w:t>
            </w:r>
            <w:r w:rsidR="001B0A6C" w:rsidRPr="0099632B">
              <w:rPr>
                <w:rFonts w:ascii="Arial" w:hAnsi="Arial" w:cs="Arial"/>
              </w:rPr>
              <w:t>and</w:t>
            </w:r>
            <w:r w:rsidRPr="0099632B">
              <w:rPr>
                <w:rFonts w:ascii="Arial" w:hAnsi="Arial" w:cs="Arial"/>
              </w:rPr>
              <w:t xml:space="preserve"> social assistance</w:t>
            </w:r>
          </w:p>
        </w:tc>
        <w:tc>
          <w:tcPr>
            <w:tcW w:w="3118" w:type="dxa"/>
          </w:tcPr>
          <w:p w14:paraId="359B5675" w14:textId="170E78E5" w:rsidR="002B675D" w:rsidRPr="0099632B" w:rsidRDefault="002B675D" w:rsidP="002B675D">
            <w:pPr>
              <w:rPr>
                <w:rFonts w:ascii="Arial" w:hAnsi="Arial" w:cs="Arial"/>
              </w:rPr>
            </w:pPr>
            <w:r w:rsidRPr="0099632B">
              <w:rPr>
                <w:rFonts w:ascii="Arial" w:hAnsi="Arial" w:cs="Arial"/>
              </w:rPr>
              <w:t>Increased 0.3% points compared to 2022-23 financial year</w:t>
            </w:r>
          </w:p>
        </w:tc>
        <w:tc>
          <w:tcPr>
            <w:tcW w:w="3124" w:type="dxa"/>
          </w:tcPr>
          <w:p w14:paraId="2350A7EA" w14:textId="56099E2A" w:rsidR="002B675D" w:rsidRPr="0099632B" w:rsidRDefault="002B675D" w:rsidP="002B675D">
            <w:pPr>
              <w:rPr>
                <w:rFonts w:ascii="Arial" w:hAnsi="Arial" w:cs="Arial"/>
              </w:rPr>
            </w:pPr>
            <w:r w:rsidRPr="0099632B">
              <w:rPr>
                <w:rFonts w:ascii="Arial" w:hAnsi="Arial" w:cs="Arial"/>
              </w:rPr>
              <w:t xml:space="preserve">Increased 1.4% points compared to 2018-19 financial year </w:t>
            </w:r>
          </w:p>
        </w:tc>
      </w:tr>
      <w:tr w:rsidR="002B675D" w:rsidRPr="00B82E1F" w14:paraId="28EC4BE5" w14:textId="77777777" w:rsidTr="0050447C">
        <w:trPr>
          <w:trHeight w:val="635"/>
        </w:trPr>
        <w:tc>
          <w:tcPr>
            <w:tcW w:w="3256" w:type="dxa"/>
            <w:shd w:val="clear" w:color="auto" w:fill="E7E6E6" w:themeFill="background2"/>
          </w:tcPr>
          <w:p w14:paraId="71F330EC" w14:textId="1FAB7E95" w:rsidR="002B675D" w:rsidRPr="0099632B" w:rsidRDefault="002B675D" w:rsidP="002B675D">
            <w:pPr>
              <w:rPr>
                <w:rFonts w:ascii="Arial" w:hAnsi="Arial" w:cs="Arial"/>
              </w:rPr>
            </w:pPr>
            <w:r w:rsidRPr="0099632B">
              <w:rPr>
                <w:rFonts w:ascii="Arial" w:hAnsi="Arial" w:cs="Arial"/>
              </w:rPr>
              <w:t>Financial and insurance services</w:t>
            </w:r>
          </w:p>
        </w:tc>
        <w:tc>
          <w:tcPr>
            <w:tcW w:w="3118" w:type="dxa"/>
          </w:tcPr>
          <w:p w14:paraId="19A8C1CD" w14:textId="256BADE1" w:rsidR="002B675D" w:rsidRPr="0099632B" w:rsidRDefault="002B675D" w:rsidP="002B675D">
            <w:pPr>
              <w:rPr>
                <w:rFonts w:ascii="Arial" w:hAnsi="Arial" w:cs="Arial"/>
              </w:rPr>
            </w:pPr>
            <w:r w:rsidRPr="0099632B">
              <w:rPr>
                <w:rFonts w:ascii="Arial" w:hAnsi="Arial" w:cs="Arial"/>
              </w:rPr>
              <w:t>No change compared to 2022-23 financial year</w:t>
            </w:r>
          </w:p>
        </w:tc>
        <w:tc>
          <w:tcPr>
            <w:tcW w:w="3124" w:type="dxa"/>
          </w:tcPr>
          <w:p w14:paraId="7A1F96E2" w14:textId="1E2212CB" w:rsidR="002B675D" w:rsidRPr="0099632B" w:rsidRDefault="002B675D" w:rsidP="002B675D">
            <w:pPr>
              <w:rPr>
                <w:rFonts w:ascii="Arial" w:hAnsi="Arial" w:cs="Arial"/>
              </w:rPr>
            </w:pPr>
            <w:r w:rsidRPr="0099632B">
              <w:rPr>
                <w:rFonts w:ascii="Arial" w:hAnsi="Arial" w:cs="Arial"/>
              </w:rPr>
              <w:t xml:space="preserve">Decreased 0.3% points compared to 2018-19 financial year </w:t>
            </w:r>
          </w:p>
        </w:tc>
      </w:tr>
      <w:tr w:rsidR="002B675D" w:rsidRPr="00B82E1F" w14:paraId="7796CE90" w14:textId="77777777" w:rsidTr="0050447C">
        <w:trPr>
          <w:trHeight w:val="633"/>
        </w:trPr>
        <w:tc>
          <w:tcPr>
            <w:tcW w:w="3256" w:type="dxa"/>
            <w:shd w:val="clear" w:color="auto" w:fill="E7E6E6" w:themeFill="background2"/>
          </w:tcPr>
          <w:p w14:paraId="0C286A55" w14:textId="28CF5FBC" w:rsidR="002B675D" w:rsidRPr="0099632B" w:rsidRDefault="002B675D" w:rsidP="002B675D">
            <w:pPr>
              <w:rPr>
                <w:rFonts w:ascii="Arial" w:hAnsi="Arial" w:cs="Arial"/>
              </w:rPr>
            </w:pPr>
            <w:r w:rsidRPr="0099632B">
              <w:rPr>
                <w:rFonts w:ascii="Arial" w:hAnsi="Arial" w:cs="Arial"/>
              </w:rPr>
              <w:t>Professional, scientific and technical services</w:t>
            </w:r>
          </w:p>
        </w:tc>
        <w:tc>
          <w:tcPr>
            <w:tcW w:w="3118" w:type="dxa"/>
          </w:tcPr>
          <w:p w14:paraId="05840611" w14:textId="6C05980D" w:rsidR="002B675D" w:rsidRPr="0099632B" w:rsidRDefault="002B675D" w:rsidP="002B675D">
            <w:pPr>
              <w:rPr>
                <w:rFonts w:ascii="Arial" w:hAnsi="Arial" w:cs="Arial"/>
              </w:rPr>
            </w:pPr>
            <w:r w:rsidRPr="0099632B">
              <w:rPr>
                <w:rFonts w:ascii="Arial" w:hAnsi="Arial" w:cs="Arial"/>
              </w:rPr>
              <w:t>No change compared to 2022-23 financial year</w:t>
            </w:r>
          </w:p>
        </w:tc>
        <w:tc>
          <w:tcPr>
            <w:tcW w:w="3124" w:type="dxa"/>
          </w:tcPr>
          <w:p w14:paraId="34E95CB8" w14:textId="3885B635" w:rsidR="002B675D" w:rsidRPr="0099632B" w:rsidRDefault="002B675D" w:rsidP="002B675D">
            <w:pPr>
              <w:rPr>
                <w:rFonts w:ascii="Arial" w:hAnsi="Arial" w:cs="Arial"/>
              </w:rPr>
            </w:pPr>
            <w:r w:rsidRPr="0099632B">
              <w:rPr>
                <w:rFonts w:ascii="Arial" w:hAnsi="Arial" w:cs="Arial"/>
              </w:rPr>
              <w:t xml:space="preserve">Increased 1.0% point compared to 2018-19 financial year </w:t>
            </w:r>
          </w:p>
        </w:tc>
      </w:tr>
      <w:tr w:rsidR="002B675D" w:rsidRPr="00B82E1F" w14:paraId="38815584" w14:textId="77777777" w:rsidTr="0050447C">
        <w:trPr>
          <w:trHeight w:val="629"/>
        </w:trPr>
        <w:tc>
          <w:tcPr>
            <w:tcW w:w="3256" w:type="dxa"/>
            <w:shd w:val="clear" w:color="auto" w:fill="E7E6E6" w:themeFill="background2"/>
          </w:tcPr>
          <w:p w14:paraId="6F7F74B4" w14:textId="151C9207" w:rsidR="002B675D" w:rsidRPr="0099632B" w:rsidRDefault="002B675D" w:rsidP="002B675D">
            <w:pPr>
              <w:rPr>
                <w:rFonts w:ascii="Arial" w:hAnsi="Arial" w:cs="Arial"/>
              </w:rPr>
            </w:pPr>
            <w:r w:rsidRPr="0099632B">
              <w:rPr>
                <w:rFonts w:ascii="Arial" w:hAnsi="Arial" w:cs="Arial"/>
              </w:rPr>
              <w:t>Construction</w:t>
            </w:r>
          </w:p>
        </w:tc>
        <w:tc>
          <w:tcPr>
            <w:tcW w:w="3118" w:type="dxa"/>
          </w:tcPr>
          <w:p w14:paraId="07AD0A1E" w14:textId="0CB1DAD8" w:rsidR="002B675D" w:rsidRPr="0099632B" w:rsidRDefault="002B675D" w:rsidP="002B675D">
            <w:pPr>
              <w:rPr>
                <w:rFonts w:ascii="Arial" w:hAnsi="Arial" w:cs="Arial"/>
              </w:rPr>
            </w:pPr>
            <w:r w:rsidRPr="0099632B">
              <w:rPr>
                <w:rFonts w:ascii="Arial" w:hAnsi="Arial" w:cs="Arial"/>
              </w:rPr>
              <w:t>Increased 0.2% points compared to 2022-23 financial year</w:t>
            </w:r>
          </w:p>
        </w:tc>
        <w:tc>
          <w:tcPr>
            <w:tcW w:w="3124" w:type="dxa"/>
          </w:tcPr>
          <w:p w14:paraId="1469C398" w14:textId="165BF036" w:rsidR="002B675D" w:rsidRPr="0099632B" w:rsidRDefault="002B675D" w:rsidP="002B675D">
            <w:pPr>
              <w:rPr>
                <w:rFonts w:ascii="Arial" w:hAnsi="Arial" w:cs="Arial"/>
              </w:rPr>
            </w:pPr>
            <w:r w:rsidRPr="0099632B">
              <w:rPr>
                <w:rFonts w:ascii="Arial" w:hAnsi="Arial" w:cs="Arial"/>
              </w:rPr>
              <w:t xml:space="preserve">Decreased 0.3% points compared to 2018-19 financial year </w:t>
            </w:r>
          </w:p>
        </w:tc>
      </w:tr>
      <w:tr w:rsidR="002B675D" w:rsidRPr="00B82E1F" w14:paraId="5B1186D6" w14:textId="77777777" w:rsidTr="0050447C">
        <w:trPr>
          <w:trHeight w:val="657"/>
        </w:trPr>
        <w:tc>
          <w:tcPr>
            <w:tcW w:w="3256" w:type="dxa"/>
            <w:shd w:val="clear" w:color="auto" w:fill="E7E6E6" w:themeFill="background2"/>
          </w:tcPr>
          <w:p w14:paraId="54BA84BD" w14:textId="13E4668F" w:rsidR="002B675D" w:rsidRPr="0099632B" w:rsidRDefault="002B675D" w:rsidP="002B675D">
            <w:pPr>
              <w:rPr>
                <w:rFonts w:ascii="Arial" w:hAnsi="Arial" w:cs="Arial"/>
              </w:rPr>
            </w:pPr>
            <w:r w:rsidRPr="0099632B">
              <w:rPr>
                <w:rFonts w:ascii="Arial" w:hAnsi="Arial" w:cs="Arial"/>
              </w:rPr>
              <w:t>Manufacturing</w:t>
            </w:r>
          </w:p>
        </w:tc>
        <w:tc>
          <w:tcPr>
            <w:tcW w:w="3118" w:type="dxa"/>
          </w:tcPr>
          <w:p w14:paraId="1283340F" w14:textId="28BF96F0" w:rsidR="002B675D" w:rsidRPr="0099632B" w:rsidRDefault="002B675D" w:rsidP="002B675D">
            <w:pPr>
              <w:rPr>
                <w:rFonts w:ascii="Arial" w:hAnsi="Arial" w:cs="Arial"/>
              </w:rPr>
            </w:pPr>
            <w:r w:rsidRPr="0099632B">
              <w:rPr>
                <w:rFonts w:ascii="Arial" w:hAnsi="Arial" w:cs="Arial"/>
              </w:rPr>
              <w:t>Increased 0.1% point compared to 2022-23 financial year</w:t>
            </w:r>
          </w:p>
        </w:tc>
        <w:tc>
          <w:tcPr>
            <w:tcW w:w="3124" w:type="dxa"/>
          </w:tcPr>
          <w:p w14:paraId="4E70DE6B" w14:textId="6A8B6077" w:rsidR="002B675D" w:rsidRPr="0099632B" w:rsidRDefault="002B675D" w:rsidP="002B675D">
            <w:pPr>
              <w:rPr>
                <w:rFonts w:ascii="Arial" w:hAnsi="Arial" w:cs="Arial"/>
              </w:rPr>
            </w:pPr>
            <w:r w:rsidRPr="0099632B">
              <w:rPr>
                <w:rFonts w:ascii="Arial" w:hAnsi="Arial" w:cs="Arial"/>
              </w:rPr>
              <w:t>Decreased 0.2% point</w:t>
            </w:r>
            <w:r w:rsidR="003070EC" w:rsidRPr="0099632B">
              <w:rPr>
                <w:rFonts w:ascii="Arial" w:hAnsi="Arial" w:cs="Arial"/>
              </w:rPr>
              <w:t>s</w:t>
            </w:r>
            <w:r w:rsidRPr="0099632B">
              <w:rPr>
                <w:rFonts w:ascii="Arial" w:hAnsi="Arial" w:cs="Arial"/>
              </w:rPr>
              <w:t xml:space="preserve"> compared to 2018-19 financial year </w:t>
            </w:r>
          </w:p>
        </w:tc>
      </w:tr>
      <w:tr w:rsidR="002B675D" w:rsidRPr="00B82E1F" w14:paraId="63B11D0F" w14:textId="77777777" w:rsidTr="0050447C">
        <w:trPr>
          <w:trHeight w:val="657"/>
        </w:trPr>
        <w:tc>
          <w:tcPr>
            <w:tcW w:w="3256" w:type="dxa"/>
            <w:shd w:val="clear" w:color="auto" w:fill="E7E6E6" w:themeFill="background2"/>
          </w:tcPr>
          <w:p w14:paraId="4A6EA306" w14:textId="266B203E" w:rsidR="002B675D" w:rsidRPr="0099632B" w:rsidRDefault="002B675D" w:rsidP="002B675D">
            <w:pPr>
              <w:rPr>
                <w:rFonts w:ascii="Arial" w:hAnsi="Arial" w:cs="Arial"/>
              </w:rPr>
            </w:pPr>
            <w:r w:rsidRPr="0099632B">
              <w:rPr>
                <w:rFonts w:ascii="Arial" w:hAnsi="Arial" w:cs="Arial"/>
              </w:rPr>
              <w:t xml:space="preserve">Education </w:t>
            </w:r>
            <w:r w:rsidR="001B0A6C" w:rsidRPr="0099632B">
              <w:rPr>
                <w:rFonts w:ascii="Arial" w:hAnsi="Arial" w:cs="Arial"/>
              </w:rPr>
              <w:t>and</w:t>
            </w:r>
            <w:r w:rsidRPr="0099632B">
              <w:rPr>
                <w:rFonts w:ascii="Arial" w:hAnsi="Arial" w:cs="Arial"/>
              </w:rPr>
              <w:t xml:space="preserve"> training</w:t>
            </w:r>
          </w:p>
        </w:tc>
        <w:tc>
          <w:tcPr>
            <w:tcW w:w="3118" w:type="dxa"/>
          </w:tcPr>
          <w:p w14:paraId="1170EA82" w14:textId="5D83D487" w:rsidR="002B675D" w:rsidRPr="0099632B" w:rsidRDefault="002B675D" w:rsidP="002B675D">
            <w:pPr>
              <w:rPr>
                <w:rFonts w:ascii="Arial" w:hAnsi="Arial" w:cs="Arial"/>
              </w:rPr>
            </w:pPr>
            <w:r w:rsidRPr="0099632B">
              <w:rPr>
                <w:rFonts w:ascii="Arial" w:hAnsi="Arial" w:cs="Arial"/>
              </w:rPr>
              <w:t>Increased 0.1% point compared to 2022-23 financial year</w:t>
            </w:r>
          </w:p>
        </w:tc>
        <w:tc>
          <w:tcPr>
            <w:tcW w:w="3124" w:type="dxa"/>
          </w:tcPr>
          <w:p w14:paraId="33E14216" w14:textId="53E55DAB" w:rsidR="002B675D" w:rsidRPr="0099632B" w:rsidRDefault="002B675D" w:rsidP="002B675D">
            <w:pPr>
              <w:rPr>
                <w:rFonts w:ascii="Arial" w:hAnsi="Arial" w:cs="Arial"/>
              </w:rPr>
            </w:pPr>
            <w:r w:rsidRPr="0099632B">
              <w:rPr>
                <w:rFonts w:ascii="Arial" w:hAnsi="Arial" w:cs="Arial"/>
              </w:rPr>
              <w:t xml:space="preserve">Increased 0.1% point compared to 2018-19 financial year </w:t>
            </w:r>
          </w:p>
        </w:tc>
      </w:tr>
      <w:tr w:rsidR="002B675D" w:rsidRPr="00B82E1F" w14:paraId="2F9EDDF1" w14:textId="77777777" w:rsidTr="0050447C">
        <w:trPr>
          <w:trHeight w:val="657"/>
        </w:trPr>
        <w:tc>
          <w:tcPr>
            <w:tcW w:w="3256" w:type="dxa"/>
            <w:shd w:val="clear" w:color="auto" w:fill="E7E6E6" w:themeFill="background2"/>
          </w:tcPr>
          <w:p w14:paraId="1CB4A4D7" w14:textId="32DCCA47" w:rsidR="002B675D" w:rsidRPr="0099632B" w:rsidRDefault="002B675D" w:rsidP="002B675D">
            <w:pPr>
              <w:rPr>
                <w:rFonts w:ascii="Arial" w:hAnsi="Arial" w:cs="Arial"/>
              </w:rPr>
            </w:pPr>
            <w:r w:rsidRPr="0099632B">
              <w:rPr>
                <w:rFonts w:ascii="Arial" w:hAnsi="Arial" w:cs="Arial"/>
              </w:rPr>
              <w:t>Agriculture, forestry and fishing</w:t>
            </w:r>
          </w:p>
        </w:tc>
        <w:tc>
          <w:tcPr>
            <w:tcW w:w="3118" w:type="dxa"/>
          </w:tcPr>
          <w:p w14:paraId="59247E28" w14:textId="1542728D" w:rsidR="002B675D" w:rsidRPr="0099632B" w:rsidRDefault="002B675D" w:rsidP="002B675D">
            <w:pPr>
              <w:rPr>
                <w:rFonts w:ascii="Arial" w:hAnsi="Arial" w:cs="Arial"/>
              </w:rPr>
            </w:pPr>
            <w:r w:rsidRPr="0099632B">
              <w:rPr>
                <w:rFonts w:ascii="Arial" w:hAnsi="Arial" w:cs="Arial"/>
              </w:rPr>
              <w:t>Decreased 0.2% points compared to 2022-23 financial year</w:t>
            </w:r>
          </w:p>
        </w:tc>
        <w:tc>
          <w:tcPr>
            <w:tcW w:w="3124" w:type="dxa"/>
          </w:tcPr>
          <w:p w14:paraId="6808AB41" w14:textId="436B7C80" w:rsidR="002B675D" w:rsidRPr="0099632B" w:rsidRDefault="002B675D" w:rsidP="002B675D">
            <w:pPr>
              <w:rPr>
                <w:rFonts w:ascii="Arial" w:hAnsi="Arial" w:cs="Arial"/>
              </w:rPr>
            </w:pPr>
            <w:r w:rsidRPr="0099632B">
              <w:rPr>
                <w:rFonts w:ascii="Arial" w:hAnsi="Arial" w:cs="Arial"/>
              </w:rPr>
              <w:t xml:space="preserve">Increased 0.3% points compared to 2018-19 financial year </w:t>
            </w:r>
          </w:p>
        </w:tc>
      </w:tr>
      <w:tr w:rsidR="002B675D" w:rsidRPr="00B82E1F" w14:paraId="69EB4ADC" w14:textId="77777777" w:rsidTr="0050447C">
        <w:trPr>
          <w:trHeight w:val="657"/>
        </w:trPr>
        <w:tc>
          <w:tcPr>
            <w:tcW w:w="3256" w:type="dxa"/>
            <w:shd w:val="clear" w:color="auto" w:fill="E7E6E6" w:themeFill="background2"/>
          </w:tcPr>
          <w:p w14:paraId="7CB52DA8" w14:textId="1619D721" w:rsidR="002B675D" w:rsidRPr="0099632B" w:rsidRDefault="002B675D" w:rsidP="002B675D">
            <w:pPr>
              <w:rPr>
                <w:rFonts w:ascii="Arial" w:hAnsi="Arial" w:cs="Arial"/>
              </w:rPr>
            </w:pPr>
            <w:r w:rsidRPr="0099632B">
              <w:rPr>
                <w:rFonts w:ascii="Arial" w:hAnsi="Arial" w:cs="Arial"/>
              </w:rPr>
              <w:t>Mining</w:t>
            </w:r>
          </w:p>
        </w:tc>
        <w:tc>
          <w:tcPr>
            <w:tcW w:w="3118" w:type="dxa"/>
          </w:tcPr>
          <w:p w14:paraId="4DA56E55" w14:textId="4797B109" w:rsidR="002B675D" w:rsidRPr="0099632B" w:rsidRDefault="002B675D" w:rsidP="002B675D">
            <w:pPr>
              <w:rPr>
                <w:rFonts w:ascii="Arial" w:hAnsi="Arial" w:cs="Arial"/>
              </w:rPr>
            </w:pPr>
            <w:r w:rsidRPr="0099632B">
              <w:rPr>
                <w:rFonts w:ascii="Arial" w:hAnsi="Arial" w:cs="Arial"/>
              </w:rPr>
              <w:t>Decreased 0.8% points compared to 2022-23 financial year</w:t>
            </w:r>
          </w:p>
        </w:tc>
        <w:tc>
          <w:tcPr>
            <w:tcW w:w="3124" w:type="dxa"/>
          </w:tcPr>
          <w:p w14:paraId="5E8686B9" w14:textId="468EDBDE" w:rsidR="002B675D" w:rsidRPr="0099632B" w:rsidRDefault="002B675D" w:rsidP="002B675D">
            <w:pPr>
              <w:rPr>
                <w:rFonts w:ascii="Arial" w:hAnsi="Arial" w:cs="Arial"/>
              </w:rPr>
            </w:pPr>
            <w:r w:rsidRPr="0099632B">
              <w:rPr>
                <w:rFonts w:ascii="Arial" w:hAnsi="Arial" w:cs="Arial"/>
              </w:rPr>
              <w:t xml:space="preserve">Decreased 0.5% points compared to 2018-19 financial year </w:t>
            </w:r>
          </w:p>
        </w:tc>
      </w:tr>
      <w:tr w:rsidR="002B675D" w:rsidRPr="00B82E1F" w14:paraId="6C5E89D5" w14:textId="77777777" w:rsidTr="0050447C">
        <w:trPr>
          <w:trHeight w:val="657"/>
        </w:trPr>
        <w:tc>
          <w:tcPr>
            <w:tcW w:w="3256" w:type="dxa"/>
            <w:shd w:val="clear" w:color="auto" w:fill="E7E6E6" w:themeFill="background2"/>
          </w:tcPr>
          <w:p w14:paraId="02A3CA18" w14:textId="67F8D0A8" w:rsidR="002B675D" w:rsidRPr="0099632B" w:rsidRDefault="002B675D" w:rsidP="002B675D">
            <w:pPr>
              <w:rPr>
                <w:rFonts w:ascii="Arial" w:hAnsi="Arial" w:cs="Arial"/>
              </w:rPr>
            </w:pPr>
            <w:r w:rsidRPr="0099632B">
              <w:rPr>
                <w:rFonts w:ascii="Arial" w:hAnsi="Arial" w:cs="Arial"/>
              </w:rPr>
              <w:t xml:space="preserve">Tourism – Direct </w:t>
            </w:r>
          </w:p>
        </w:tc>
        <w:tc>
          <w:tcPr>
            <w:tcW w:w="3118" w:type="dxa"/>
          </w:tcPr>
          <w:p w14:paraId="608CAAF9" w14:textId="35738467" w:rsidR="002B675D" w:rsidRPr="0099632B" w:rsidRDefault="002B675D" w:rsidP="002B675D">
            <w:pPr>
              <w:rPr>
                <w:rFonts w:ascii="Arial" w:hAnsi="Arial" w:cs="Arial"/>
              </w:rPr>
            </w:pPr>
            <w:r w:rsidRPr="0099632B">
              <w:rPr>
                <w:rFonts w:ascii="Arial" w:hAnsi="Arial" w:cs="Arial"/>
              </w:rPr>
              <w:t>Increased 0.2% points compared to 2022-23 financial year</w:t>
            </w:r>
          </w:p>
        </w:tc>
        <w:tc>
          <w:tcPr>
            <w:tcW w:w="3124" w:type="dxa"/>
          </w:tcPr>
          <w:p w14:paraId="0F87EB67" w14:textId="5FDFC9DF" w:rsidR="002B675D" w:rsidRPr="0099632B" w:rsidRDefault="002B675D" w:rsidP="002B675D">
            <w:pPr>
              <w:rPr>
                <w:rFonts w:ascii="Arial" w:hAnsi="Arial" w:cs="Arial"/>
              </w:rPr>
            </w:pPr>
            <w:r w:rsidRPr="0099632B">
              <w:rPr>
                <w:rFonts w:ascii="Arial" w:hAnsi="Arial" w:cs="Arial"/>
              </w:rPr>
              <w:t xml:space="preserve">Decreased 0.2% points compared to 2018-19 financial year </w:t>
            </w:r>
          </w:p>
        </w:tc>
      </w:tr>
      <w:tr w:rsidR="002B675D" w:rsidRPr="00B82E1F" w14:paraId="0578C1C6" w14:textId="77777777" w:rsidTr="0050447C">
        <w:trPr>
          <w:trHeight w:val="657"/>
        </w:trPr>
        <w:tc>
          <w:tcPr>
            <w:tcW w:w="3256" w:type="dxa"/>
            <w:shd w:val="clear" w:color="auto" w:fill="E7E6E6" w:themeFill="background2"/>
          </w:tcPr>
          <w:p w14:paraId="01DAB229" w14:textId="23C4988B" w:rsidR="002B675D" w:rsidRPr="0099632B" w:rsidRDefault="002B675D" w:rsidP="002B675D">
            <w:pPr>
              <w:rPr>
                <w:rFonts w:ascii="Arial" w:hAnsi="Arial" w:cs="Arial"/>
                <w:b/>
                <w:bCs/>
              </w:rPr>
            </w:pPr>
            <w:r w:rsidRPr="0099632B">
              <w:rPr>
                <w:rFonts w:ascii="Arial" w:hAnsi="Arial" w:cs="Arial"/>
                <w:b/>
                <w:bCs/>
              </w:rPr>
              <w:t>Tourism – Total (direct and indirect)</w:t>
            </w:r>
          </w:p>
        </w:tc>
        <w:tc>
          <w:tcPr>
            <w:tcW w:w="3118" w:type="dxa"/>
          </w:tcPr>
          <w:p w14:paraId="3DF17316" w14:textId="617B42C6" w:rsidR="002B675D" w:rsidRPr="0099632B" w:rsidRDefault="002B675D" w:rsidP="002B675D">
            <w:pPr>
              <w:rPr>
                <w:rFonts w:ascii="Arial" w:hAnsi="Arial" w:cs="Arial"/>
                <w:b/>
                <w:bCs/>
              </w:rPr>
            </w:pPr>
            <w:r w:rsidRPr="0099632B">
              <w:rPr>
                <w:rFonts w:ascii="Arial" w:hAnsi="Arial" w:cs="Arial"/>
                <w:b/>
                <w:bCs/>
              </w:rPr>
              <w:t>Increased 0.3% points compared to 2022-23 financial year</w:t>
            </w:r>
          </w:p>
        </w:tc>
        <w:tc>
          <w:tcPr>
            <w:tcW w:w="3124" w:type="dxa"/>
          </w:tcPr>
          <w:p w14:paraId="72D8E291" w14:textId="2D3224E7" w:rsidR="002B675D" w:rsidRPr="0099632B" w:rsidRDefault="002B675D" w:rsidP="002B675D">
            <w:pPr>
              <w:rPr>
                <w:rFonts w:ascii="Arial" w:hAnsi="Arial" w:cs="Arial"/>
                <w:b/>
                <w:bCs/>
              </w:rPr>
            </w:pPr>
            <w:r w:rsidRPr="0099632B">
              <w:rPr>
                <w:rFonts w:ascii="Arial" w:hAnsi="Arial" w:cs="Arial"/>
                <w:b/>
                <w:bCs/>
              </w:rPr>
              <w:t xml:space="preserve">Decreased 0.5% points compared to 2018-19 financial year </w:t>
            </w:r>
          </w:p>
        </w:tc>
      </w:tr>
    </w:tbl>
    <w:p w14:paraId="0F1C7A7E" w14:textId="77777777" w:rsidR="00BC556B" w:rsidRPr="00B82E1F" w:rsidRDefault="00BC556B" w:rsidP="00BC556B">
      <w:pPr>
        <w:pStyle w:val="NoSpacing"/>
        <w:rPr>
          <w:rFonts w:ascii="Arial" w:eastAsiaTheme="minorHAnsi" w:hAnsi="Arial" w:cs="Arial"/>
        </w:rPr>
      </w:pPr>
    </w:p>
    <w:p w14:paraId="785978FC" w14:textId="1BE21CC8" w:rsidR="00D8081F" w:rsidRPr="0099632B" w:rsidRDefault="00C43065" w:rsidP="00E871DA">
      <w:pPr>
        <w:pStyle w:val="Heading3"/>
        <w:rPr>
          <w:rFonts w:ascii="Arial" w:eastAsiaTheme="minorHAnsi" w:hAnsi="Arial" w:cs="Arial"/>
          <w:color w:val="002060"/>
        </w:rPr>
      </w:pPr>
      <w:r w:rsidRPr="0099632B">
        <w:rPr>
          <w:rFonts w:ascii="Arial" w:eastAsiaTheme="minorHAnsi" w:hAnsi="Arial" w:cs="Arial"/>
          <w:color w:val="002060"/>
        </w:rPr>
        <w:lastRenderedPageBreak/>
        <w:t xml:space="preserve">9.5.3 </w:t>
      </w:r>
      <w:r w:rsidR="00D8081F" w:rsidRPr="0099632B">
        <w:rPr>
          <w:rFonts w:ascii="Arial" w:eastAsiaTheme="minorHAnsi" w:hAnsi="Arial" w:cs="Arial"/>
          <w:color w:val="002060"/>
        </w:rPr>
        <w:t xml:space="preserve">Share of industry contributions to </w:t>
      </w:r>
      <w:r w:rsidR="003F2704" w:rsidRPr="0099632B">
        <w:rPr>
          <w:rFonts w:ascii="Arial" w:eastAsiaTheme="minorHAnsi" w:hAnsi="Arial" w:cs="Arial"/>
          <w:color w:val="002060"/>
        </w:rPr>
        <w:t xml:space="preserve">direct </w:t>
      </w:r>
      <w:r w:rsidR="00D8081F" w:rsidRPr="0099632B">
        <w:rPr>
          <w:rFonts w:ascii="Arial" w:eastAsiaTheme="minorHAnsi" w:hAnsi="Arial" w:cs="Arial"/>
          <w:color w:val="002060"/>
        </w:rPr>
        <w:t xml:space="preserve">filled jobs in 2018-19, </w:t>
      </w:r>
      <w:r w:rsidR="001111CF" w:rsidRPr="0099632B">
        <w:rPr>
          <w:rFonts w:ascii="Arial" w:eastAsiaTheme="minorHAnsi" w:hAnsi="Arial" w:cs="Arial"/>
          <w:color w:val="002060"/>
        </w:rPr>
        <w:t>2022-23</w:t>
      </w:r>
      <w:r w:rsidR="00D8081F" w:rsidRPr="0099632B">
        <w:rPr>
          <w:rFonts w:ascii="Arial" w:eastAsiaTheme="minorHAnsi" w:hAnsi="Arial" w:cs="Arial"/>
          <w:color w:val="002060"/>
        </w:rPr>
        <w:t xml:space="preserve"> and </w:t>
      </w:r>
      <w:r w:rsidR="00087CA3" w:rsidRPr="0099632B">
        <w:rPr>
          <w:rFonts w:ascii="Arial" w:eastAsiaTheme="minorHAnsi" w:hAnsi="Arial" w:cs="Arial"/>
          <w:color w:val="002060"/>
        </w:rPr>
        <w:t>2023-24</w:t>
      </w:r>
      <w:r w:rsidR="00D8081F" w:rsidRPr="0099632B">
        <w:rPr>
          <w:rFonts w:ascii="Arial" w:eastAsiaTheme="minorHAnsi" w:hAnsi="Arial" w:cs="Arial"/>
          <w:color w:val="002060"/>
        </w:rPr>
        <w:t xml:space="preserve"> </w:t>
      </w:r>
    </w:p>
    <w:tbl>
      <w:tblPr>
        <w:tblStyle w:val="TableGrid"/>
        <w:tblpPr w:leftFromText="180" w:rightFromText="180" w:vertAnchor="text" w:horzAnchor="margin" w:tblpY="166"/>
        <w:tblW w:w="9629" w:type="dxa"/>
        <w:tblLook w:val="04A0" w:firstRow="1" w:lastRow="0" w:firstColumn="1" w:lastColumn="0" w:noHBand="0" w:noVBand="1"/>
      </w:tblPr>
      <w:tblGrid>
        <w:gridCol w:w="2830"/>
        <w:gridCol w:w="2410"/>
        <w:gridCol w:w="2126"/>
        <w:gridCol w:w="2263"/>
      </w:tblGrid>
      <w:tr w:rsidR="00D8081F" w:rsidRPr="0099632B" w14:paraId="196217A7" w14:textId="77777777" w:rsidTr="004A110B">
        <w:trPr>
          <w:trHeight w:val="428"/>
          <w:tblHeader/>
        </w:trPr>
        <w:tc>
          <w:tcPr>
            <w:tcW w:w="2830" w:type="dxa"/>
            <w:tcBorders>
              <w:bottom w:val="nil"/>
            </w:tcBorders>
            <w:shd w:val="clear" w:color="auto" w:fill="E7E6E6" w:themeFill="background2"/>
          </w:tcPr>
          <w:p w14:paraId="1B834E6A" w14:textId="77777777" w:rsidR="00D8081F" w:rsidRPr="0099632B" w:rsidRDefault="00D8081F" w:rsidP="004A110B">
            <w:pPr>
              <w:rPr>
                <w:rFonts w:ascii="Arial" w:hAnsi="Arial" w:cs="Arial"/>
                <w:b/>
                <w:bCs/>
              </w:rPr>
            </w:pPr>
            <w:bookmarkStart w:id="77" w:name="Title_31" w:colFirst="0" w:colLast="0"/>
            <w:r w:rsidRPr="0099632B">
              <w:rPr>
                <w:rFonts w:ascii="Arial" w:hAnsi="Arial" w:cs="Arial"/>
                <w:b/>
                <w:bCs/>
              </w:rPr>
              <w:t xml:space="preserve">Industry </w:t>
            </w:r>
          </w:p>
        </w:tc>
        <w:tc>
          <w:tcPr>
            <w:tcW w:w="2410" w:type="dxa"/>
            <w:tcBorders>
              <w:bottom w:val="nil"/>
            </w:tcBorders>
            <w:shd w:val="clear" w:color="auto" w:fill="E7E6E6" w:themeFill="background2"/>
          </w:tcPr>
          <w:p w14:paraId="1763FD85" w14:textId="0B15B686" w:rsidR="00D8081F" w:rsidRPr="0099632B" w:rsidRDefault="00D8081F" w:rsidP="004A110B">
            <w:pPr>
              <w:rPr>
                <w:rFonts w:ascii="Arial" w:hAnsi="Arial" w:cs="Arial"/>
                <w:b/>
                <w:bCs/>
              </w:rPr>
            </w:pPr>
            <w:r w:rsidRPr="0099632B">
              <w:rPr>
                <w:rFonts w:ascii="Arial" w:hAnsi="Arial" w:cs="Arial"/>
                <w:b/>
                <w:bCs/>
              </w:rPr>
              <w:t xml:space="preserve">% share of Victoria’s filled jobs in 2018-19 </w:t>
            </w:r>
          </w:p>
          <w:p w14:paraId="720195F4" w14:textId="0B467732" w:rsidR="00D8081F" w:rsidRPr="0099632B" w:rsidRDefault="00D8081F" w:rsidP="004A110B">
            <w:pPr>
              <w:rPr>
                <w:rFonts w:ascii="Arial" w:hAnsi="Arial" w:cs="Arial"/>
                <w:b/>
                <w:bCs/>
              </w:rPr>
            </w:pPr>
          </w:p>
        </w:tc>
        <w:tc>
          <w:tcPr>
            <w:tcW w:w="2126" w:type="dxa"/>
            <w:tcBorders>
              <w:bottom w:val="nil"/>
            </w:tcBorders>
            <w:shd w:val="clear" w:color="auto" w:fill="E7E6E6" w:themeFill="background2"/>
          </w:tcPr>
          <w:p w14:paraId="41E2AC26" w14:textId="737C8A10" w:rsidR="00D8081F" w:rsidRPr="0099632B" w:rsidRDefault="00D8081F" w:rsidP="004A110B">
            <w:pPr>
              <w:rPr>
                <w:rFonts w:ascii="Arial" w:hAnsi="Arial" w:cs="Arial"/>
                <w:b/>
                <w:bCs/>
              </w:rPr>
            </w:pPr>
            <w:r w:rsidRPr="0099632B">
              <w:rPr>
                <w:rFonts w:ascii="Arial" w:hAnsi="Arial" w:cs="Arial"/>
                <w:b/>
                <w:bCs/>
              </w:rPr>
              <w:t xml:space="preserve">% share of Victoria’s filled jobs in </w:t>
            </w:r>
            <w:r w:rsidR="001111CF" w:rsidRPr="0099632B">
              <w:rPr>
                <w:rFonts w:ascii="Arial" w:hAnsi="Arial" w:cs="Arial"/>
                <w:b/>
                <w:bCs/>
              </w:rPr>
              <w:t>2022-23</w:t>
            </w:r>
          </w:p>
        </w:tc>
        <w:tc>
          <w:tcPr>
            <w:tcW w:w="2263" w:type="dxa"/>
            <w:tcBorders>
              <w:bottom w:val="nil"/>
            </w:tcBorders>
            <w:shd w:val="clear" w:color="auto" w:fill="E7E6E6" w:themeFill="background2"/>
          </w:tcPr>
          <w:p w14:paraId="2FF3070C" w14:textId="5D398133" w:rsidR="00D8081F" w:rsidRPr="0099632B" w:rsidRDefault="00D8081F" w:rsidP="004A110B">
            <w:pPr>
              <w:rPr>
                <w:rFonts w:ascii="Arial" w:hAnsi="Arial" w:cs="Arial"/>
                <w:b/>
                <w:bCs/>
              </w:rPr>
            </w:pPr>
            <w:r w:rsidRPr="0099632B">
              <w:rPr>
                <w:rFonts w:ascii="Arial" w:hAnsi="Arial" w:cs="Arial"/>
                <w:b/>
                <w:bCs/>
              </w:rPr>
              <w:t xml:space="preserve">% share of Victoria’s filled jobs in </w:t>
            </w:r>
            <w:r w:rsidR="00087CA3" w:rsidRPr="0099632B">
              <w:rPr>
                <w:rFonts w:ascii="Arial" w:hAnsi="Arial" w:cs="Arial"/>
                <w:b/>
                <w:bCs/>
              </w:rPr>
              <w:t>2023-24</w:t>
            </w:r>
          </w:p>
        </w:tc>
      </w:tr>
      <w:bookmarkEnd w:id="77"/>
      <w:tr w:rsidR="007C51F9" w:rsidRPr="0099632B" w14:paraId="6CD7D61F" w14:textId="77777777" w:rsidTr="00A75F8F">
        <w:tc>
          <w:tcPr>
            <w:tcW w:w="2830" w:type="dxa"/>
            <w:shd w:val="clear" w:color="auto" w:fill="E7E6E6" w:themeFill="background2"/>
          </w:tcPr>
          <w:p w14:paraId="63320F4C" w14:textId="5BD27A1D" w:rsidR="007C51F9" w:rsidRPr="0099632B" w:rsidRDefault="007C51F9" w:rsidP="007C51F9">
            <w:pPr>
              <w:rPr>
                <w:rFonts w:ascii="Arial" w:hAnsi="Arial" w:cs="Arial"/>
              </w:rPr>
            </w:pPr>
            <w:r w:rsidRPr="0099632B">
              <w:rPr>
                <w:rFonts w:ascii="Arial" w:hAnsi="Arial" w:cs="Arial"/>
              </w:rPr>
              <w:t xml:space="preserve">Health care </w:t>
            </w:r>
            <w:r w:rsidR="001B0A6C" w:rsidRPr="0099632B">
              <w:rPr>
                <w:rFonts w:ascii="Arial" w:hAnsi="Arial" w:cs="Arial"/>
              </w:rPr>
              <w:t>and</w:t>
            </w:r>
            <w:r w:rsidRPr="0099632B">
              <w:rPr>
                <w:rFonts w:ascii="Arial" w:hAnsi="Arial" w:cs="Arial"/>
              </w:rPr>
              <w:t xml:space="preserve"> social assistance</w:t>
            </w:r>
          </w:p>
        </w:tc>
        <w:tc>
          <w:tcPr>
            <w:tcW w:w="2410" w:type="dxa"/>
          </w:tcPr>
          <w:p w14:paraId="1281C834" w14:textId="0E2B456C" w:rsidR="007C51F9" w:rsidRPr="0099632B" w:rsidRDefault="007C51F9" w:rsidP="007C51F9">
            <w:pPr>
              <w:rPr>
                <w:rFonts w:ascii="Arial" w:hAnsi="Arial" w:cs="Arial"/>
              </w:rPr>
            </w:pPr>
            <w:r w:rsidRPr="0099632B">
              <w:rPr>
                <w:rFonts w:ascii="Arial" w:hAnsi="Arial" w:cs="Arial"/>
              </w:rPr>
              <w:t>12.2</w:t>
            </w:r>
          </w:p>
        </w:tc>
        <w:tc>
          <w:tcPr>
            <w:tcW w:w="2126" w:type="dxa"/>
          </w:tcPr>
          <w:p w14:paraId="17EA3475" w14:textId="492B152A" w:rsidR="007C51F9" w:rsidRPr="0099632B" w:rsidRDefault="007C51F9" w:rsidP="007C51F9">
            <w:pPr>
              <w:rPr>
                <w:rFonts w:ascii="Arial" w:hAnsi="Arial" w:cs="Arial"/>
              </w:rPr>
            </w:pPr>
            <w:r w:rsidRPr="0099632B">
              <w:rPr>
                <w:rFonts w:ascii="Arial" w:hAnsi="Arial" w:cs="Arial"/>
              </w:rPr>
              <w:t>14.1</w:t>
            </w:r>
          </w:p>
        </w:tc>
        <w:tc>
          <w:tcPr>
            <w:tcW w:w="2263" w:type="dxa"/>
          </w:tcPr>
          <w:p w14:paraId="0EEB1D83" w14:textId="3261FB14" w:rsidR="007C51F9" w:rsidRPr="0099632B" w:rsidRDefault="007C51F9" w:rsidP="007C51F9">
            <w:pPr>
              <w:rPr>
                <w:rFonts w:ascii="Arial" w:hAnsi="Arial" w:cs="Arial"/>
              </w:rPr>
            </w:pPr>
            <w:r w:rsidRPr="0099632B">
              <w:rPr>
                <w:rFonts w:ascii="Arial" w:hAnsi="Arial" w:cs="Arial"/>
              </w:rPr>
              <w:t>14.9</w:t>
            </w:r>
          </w:p>
        </w:tc>
      </w:tr>
      <w:tr w:rsidR="007C51F9" w:rsidRPr="0099632B" w14:paraId="6E7F52A8" w14:textId="77777777" w:rsidTr="00A75F8F">
        <w:trPr>
          <w:trHeight w:val="635"/>
        </w:trPr>
        <w:tc>
          <w:tcPr>
            <w:tcW w:w="2830" w:type="dxa"/>
            <w:shd w:val="clear" w:color="auto" w:fill="E7E6E6" w:themeFill="background2"/>
          </w:tcPr>
          <w:p w14:paraId="2F3E518F" w14:textId="2FD11862" w:rsidR="007C51F9" w:rsidRPr="0099632B" w:rsidRDefault="007C51F9" w:rsidP="007C51F9">
            <w:pPr>
              <w:rPr>
                <w:rFonts w:ascii="Arial" w:hAnsi="Arial" w:cs="Arial"/>
              </w:rPr>
            </w:pPr>
            <w:r w:rsidRPr="0099632B">
              <w:rPr>
                <w:rFonts w:ascii="Arial" w:hAnsi="Arial" w:cs="Arial"/>
              </w:rPr>
              <w:t>Financial and insurance services</w:t>
            </w:r>
          </w:p>
        </w:tc>
        <w:tc>
          <w:tcPr>
            <w:tcW w:w="2410" w:type="dxa"/>
          </w:tcPr>
          <w:p w14:paraId="04CB9CD1" w14:textId="717A05AE" w:rsidR="007C51F9" w:rsidRPr="0099632B" w:rsidRDefault="007C51F9" w:rsidP="007C51F9">
            <w:pPr>
              <w:rPr>
                <w:rFonts w:ascii="Arial" w:hAnsi="Arial" w:cs="Arial"/>
              </w:rPr>
            </w:pPr>
            <w:r w:rsidRPr="0099632B">
              <w:rPr>
                <w:rFonts w:ascii="Arial" w:hAnsi="Arial" w:cs="Arial"/>
              </w:rPr>
              <w:t>3.6</w:t>
            </w:r>
          </w:p>
        </w:tc>
        <w:tc>
          <w:tcPr>
            <w:tcW w:w="2126" w:type="dxa"/>
          </w:tcPr>
          <w:p w14:paraId="124BA471" w14:textId="2D1E5996" w:rsidR="007C51F9" w:rsidRPr="0099632B" w:rsidRDefault="007C51F9" w:rsidP="007C51F9">
            <w:pPr>
              <w:rPr>
                <w:rFonts w:ascii="Arial" w:hAnsi="Arial" w:cs="Arial"/>
              </w:rPr>
            </w:pPr>
            <w:r w:rsidRPr="0099632B">
              <w:rPr>
                <w:rFonts w:ascii="Arial" w:hAnsi="Arial" w:cs="Arial"/>
              </w:rPr>
              <w:t>3.6</w:t>
            </w:r>
          </w:p>
        </w:tc>
        <w:tc>
          <w:tcPr>
            <w:tcW w:w="2263" w:type="dxa"/>
          </w:tcPr>
          <w:p w14:paraId="7AF04476" w14:textId="6E71D042" w:rsidR="007C51F9" w:rsidRPr="0099632B" w:rsidRDefault="007C51F9" w:rsidP="007C51F9">
            <w:pPr>
              <w:rPr>
                <w:rFonts w:ascii="Arial" w:hAnsi="Arial" w:cs="Arial"/>
              </w:rPr>
            </w:pPr>
            <w:r w:rsidRPr="0099632B">
              <w:rPr>
                <w:rFonts w:ascii="Arial" w:hAnsi="Arial" w:cs="Arial"/>
              </w:rPr>
              <w:t>3.5</w:t>
            </w:r>
          </w:p>
        </w:tc>
      </w:tr>
      <w:tr w:rsidR="007C51F9" w:rsidRPr="0099632B" w14:paraId="3218F85D" w14:textId="77777777" w:rsidTr="00A75F8F">
        <w:trPr>
          <w:trHeight w:val="633"/>
        </w:trPr>
        <w:tc>
          <w:tcPr>
            <w:tcW w:w="2830" w:type="dxa"/>
            <w:shd w:val="clear" w:color="auto" w:fill="E7E6E6" w:themeFill="background2"/>
          </w:tcPr>
          <w:p w14:paraId="2592F789" w14:textId="5C585DB9" w:rsidR="007C51F9" w:rsidRPr="0099632B" w:rsidRDefault="007C51F9" w:rsidP="007C51F9">
            <w:pPr>
              <w:rPr>
                <w:rFonts w:ascii="Arial" w:hAnsi="Arial" w:cs="Arial"/>
              </w:rPr>
            </w:pPr>
            <w:r w:rsidRPr="0099632B">
              <w:rPr>
                <w:rFonts w:ascii="Arial" w:hAnsi="Arial" w:cs="Arial"/>
              </w:rPr>
              <w:t>Professional, scientific and technical services</w:t>
            </w:r>
          </w:p>
        </w:tc>
        <w:tc>
          <w:tcPr>
            <w:tcW w:w="2410" w:type="dxa"/>
          </w:tcPr>
          <w:p w14:paraId="122F0A08" w14:textId="453773B5" w:rsidR="007C51F9" w:rsidRPr="0099632B" w:rsidRDefault="007C51F9" w:rsidP="007C51F9">
            <w:pPr>
              <w:rPr>
                <w:rFonts w:ascii="Arial" w:hAnsi="Arial" w:cs="Arial"/>
              </w:rPr>
            </w:pPr>
            <w:r w:rsidRPr="0099632B">
              <w:rPr>
                <w:rFonts w:ascii="Arial" w:hAnsi="Arial" w:cs="Arial"/>
              </w:rPr>
              <w:t>9.2</w:t>
            </w:r>
          </w:p>
        </w:tc>
        <w:tc>
          <w:tcPr>
            <w:tcW w:w="2126" w:type="dxa"/>
          </w:tcPr>
          <w:p w14:paraId="31A07E6B" w14:textId="7D73F45C" w:rsidR="007C51F9" w:rsidRPr="0099632B" w:rsidRDefault="007C51F9" w:rsidP="007C51F9">
            <w:pPr>
              <w:rPr>
                <w:rFonts w:ascii="Arial" w:hAnsi="Arial" w:cs="Arial"/>
              </w:rPr>
            </w:pPr>
            <w:r w:rsidRPr="0099632B">
              <w:rPr>
                <w:rFonts w:ascii="Arial" w:hAnsi="Arial" w:cs="Arial"/>
              </w:rPr>
              <w:t>8.2</w:t>
            </w:r>
          </w:p>
        </w:tc>
        <w:tc>
          <w:tcPr>
            <w:tcW w:w="2263" w:type="dxa"/>
          </w:tcPr>
          <w:p w14:paraId="751E9A79" w14:textId="1637959D" w:rsidR="007C51F9" w:rsidRPr="0099632B" w:rsidRDefault="007C51F9" w:rsidP="007C51F9">
            <w:pPr>
              <w:rPr>
                <w:rFonts w:ascii="Arial" w:hAnsi="Arial" w:cs="Arial"/>
              </w:rPr>
            </w:pPr>
            <w:r w:rsidRPr="0099632B">
              <w:rPr>
                <w:rFonts w:ascii="Arial" w:hAnsi="Arial" w:cs="Arial"/>
              </w:rPr>
              <w:t>8.2</w:t>
            </w:r>
          </w:p>
        </w:tc>
      </w:tr>
      <w:tr w:rsidR="007C51F9" w:rsidRPr="0099632B" w14:paraId="5D7F3CF8" w14:textId="77777777" w:rsidTr="00A75F8F">
        <w:trPr>
          <w:trHeight w:val="629"/>
        </w:trPr>
        <w:tc>
          <w:tcPr>
            <w:tcW w:w="2830" w:type="dxa"/>
            <w:shd w:val="clear" w:color="auto" w:fill="E7E6E6" w:themeFill="background2"/>
          </w:tcPr>
          <w:p w14:paraId="02FCCA8D" w14:textId="1F96CACF" w:rsidR="007C51F9" w:rsidRPr="0099632B" w:rsidRDefault="007C51F9" w:rsidP="007C51F9">
            <w:pPr>
              <w:rPr>
                <w:rFonts w:ascii="Arial" w:hAnsi="Arial" w:cs="Arial"/>
              </w:rPr>
            </w:pPr>
            <w:r w:rsidRPr="0099632B">
              <w:rPr>
                <w:rFonts w:ascii="Arial" w:hAnsi="Arial" w:cs="Arial"/>
              </w:rPr>
              <w:t>Construction</w:t>
            </w:r>
          </w:p>
        </w:tc>
        <w:tc>
          <w:tcPr>
            <w:tcW w:w="2410" w:type="dxa"/>
          </w:tcPr>
          <w:p w14:paraId="36F330A1" w14:textId="0061C18C" w:rsidR="007C51F9" w:rsidRPr="0099632B" w:rsidRDefault="007C51F9" w:rsidP="007C51F9">
            <w:pPr>
              <w:rPr>
                <w:rFonts w:ascii="Arial" w:hAnsi="Arial" w:cs="Arial"/>
              </w:rPr>
            </w:pPr>
            <w:r w:rsidRPr="0099632B">
              <w:rPr>
                <w:rFonts w:ascii="Arial" w:hAnsi="Arial" w:cs="Arial"/>
              </w:rPr>
              <w:t>8.1</w:t>
            </w:r>
          </w:p>
        </w:tc>
        <w:tc>
          <w:tcPr>
            <w:tcW w:w="2126" w:type="dxa"/>
          </w:tcPr>
          <w:p w14:paraId="2A9D6D2E" w14:textId="6C538054" w:rsidR="007C51F9" w:rsidRPr="0099632B" w:rsidRDefault="007C51F9" w:rsidP="007C51F9">
            <w:pPr>
              <w:rPr>
                <w:rFonts w:ascii="Arial" w:hAnsi="Arial" w:cs="Arial"/>
              </w:rPr>
            </w:pPr>
            <w:r w:rsidRPr="0099632B">
              <w:rPr>
                <w:rFonts w:ascii="Arial" w:hAnsi="Arial" w:cs="Arial"/>
              </w:rPr>
              <w:t>7.7</w:t>
            </w:r>
          </w:p>
        </w:tc>
        <w:tc>
          <w:tcPr>
            <w:tcW w:w="2263" w:type="dxa"/>
          </w:tcPr>
          <w:p w14:paraId="74723C46" w14:textId="70EA380E" w:rsidR="007C51F9" w:rsidRPr="0099632B" w:rsidRDefault="007C51F9" w:rsidP="007C51F9">
            <w:pPr>
              <w:rPr>
                <w:rFonts w:ascii="Arial" w:hAnsi="Arial" w:cs="Arial"/>
              </w:rPr>
            </w:pPr>
            <w:r w:rsidRPr="0099632B">
              <w:rPr>
                <w:rFonts w:ascii="Arial" w:hAnsi="Arial" w:cs="Arial"/>
              </w:rPr>
              <w:t>7.5</w:t>
            </w:r>
          </w:p>
        </w:tc>
      </w:tr>
      <w:tr w:rsidR="007C51F9" w:rsidRPr="0099632B" w14:paraId="32AE6F50" w14:textId="77777777" w:rsidTr="00A75F8F">
        <w:trPr>
          <w:trHeight w:val="657"/>
        </w:trPr>
        <w:tc>
          <w:tcPr>
            <w:tcW w:w="2830" w:type="dxa"/>
            <w:shd w:val="clear" w:color="auto" w:fill="E7E6E6" w:themeFill="background2"/>
          </w:tcPr>
          <w:p w14:paraId="7552D387" w14:textId="5182869E" w:rsidR="007C51F9" w:rsidRPr="0099632B" w:rsidRDefault="007C51F9" w:rsidP="007C51F9">
            <w:pPr>
              <w:rPr>
                <w:rFonts w:ascii="Arial" w:hAnsi="Arial" w:cs="Arial"/>
              </w:rPr>
            </w:pPr>
            <w:r w:rsidRPr="0099632B">
              <w:rPr>
                <w:rFonts w:ascii="Arial" w:hAnsi="Arial" w:cs="Arial"/>
              </w:rPr>
              <w:t>Manufacturing</w:t>
            </w:r>
          </w:p>
        </w:tc>
        <w:tc>
          <w:tcPr>
            <w:tcW w:w="2410" w:type="dxa"/>
          </w:tcPr>
          <w:p w14:paraId="0589CF4B" w14:textId="088AD56E" w:rsidR="007C51F9" w:rsidRPr="0099632B" w:rsidRDefault="007C51F9" w:rsidP="007C51F9">
            <w:pPr>
              <w:rPr>
                <w:rFonts w:ascii="Arial" w:hAnsi="Arial" w:cs="Arial"/>
              </w:rPr>
            </w:pPr>
            <w:r w:rsidRPr="0099632B">
              <w:rPr>
                <w:rFonts w:ascii="Arial" w:hAnsi="Arial" w:cs="Arial"/>
              </w:rPr>
              <w:t>7.2</w:t>
            </w:r>
          </w:p>
        </w:tc>
        <w:tc>
          <w:tcPr>
            <w:tcW w:w="2126" w:type="dxa"/>
          </w:tcPr>
          <w:p w14:paraId="12E21D6E" w14:textId="6844923F" w:rsidR="007C51F9" w:rsidRPr="0099632B" w:rsidRDefault="007C51F9" w:rsidP="007C51F9">
            <w:pPr>
              <w:rPr>
                <w:rFonts w:ascii="Arial" w:hAnsi="Arial" w:cs="Arial"/>
              </w:rPr>
            </w:pPr>
            <w:r w:rsidRPr="0099632B">
              <w:rPr>
                <w:rFonts w:ascii="Arial" w:hAnsi="Arial" w:cs="Arial"/>
              </w:rPr>
              <w:t>6.6</w:t>
            </w:r>
          </w:p>
        </w:tc>
        <w:tc>
          <w:tcPr>
            <w:tcW w:w="2263" w:type="dxa"/>
          </w:tcPr>
          <w:p w14:paraId="078FCCBF" w14:textId="2FFA716C" w:rsidR="007C51F9" w:rsidRPr="0099632B" w:rsidRDefault="007C51F9" w:rsidP="007C51F9">
            <w:pPr>
              <w:rPr>
                <w:rFonts w:ascii="Arial" w:hAnsi="Arial" w:cs="Arial"/>
              </w:rPr>
            </w:pPr>
            <w:r w:rsidRPr="0099632B">
              <w:rPr>
                <w:rFonts w:ascii="Arial" w:hAnsi="Arial" w:cs="Arial"/>
              </w:rPr>
              <w:t>6.5</w:t>
            </w:r>
          </w:p>
        </w:tc>
      </w:tr>
      <w:tr w:rsidR="007C51F9" w:rsidRPr="0099632B" w14:paraId="0BDE750B" w14:textId="77777777" w:rsidTr="00A75F8F">
        <w:trPr>
          <w:trHeight w:val="657"/>
        </w:trPr>
        <w:tc>
          <w:tcPr>
            <w:tcW w:w="2830" w:type="dxa"/>
            <w:shd w:val="clear" w:color="auto" w:fill="E7E6E6" w:themeFill="background2"/>
          </w:tcPr>
          <w:p w14:paraId="68F1252E" w14:textId="7F4B31DB" w:rsidR="007C51F9" w:rsidRPr="0099632B" w:rsidRDefault="007C51F9" w:rsidP="007C51F9">
            <w:pPr>
              <w:rPr>
                <w:rFonts w:ascii="Arial" w:hAnsi="Arial" w:cs="Arial"/>
              </w:rPr>
            </w:pPr>
            <w:r w:rsidRPr="0099632B">
              <w:rPr>
                <w:rFonts w:ascii="Arial" w:hAnsi="Arial" w:cs="Arial"/>
              </w:rPr>
              <w:t xml:space="preserve">Education </w:t>
            </w:r>
            <w:r w:rsidR="001B0A6C" w:rsidRPr="0099632B">
              <w:rPr>
                <w:rFonts w:ascii="Arial" w:hAnsi="Arial" w:cs="Arial"/>
              </w:rPr>
              <w:t>and</w:t>
            </w:r>
            <w:r w:rsidRPr="0099632B">
              <w:rPr>
                <w:rFonts w:ascii="Arial" w:hAnsi="Arial" w:cs="Arial"/>
              </w:rPr>
              <w:t xml:space="preserve"> training</w:t>
            </w:r>
          </w:p>
        </w:tc>
        <w:tc>
          <w:tcPr>
            <w:tcW w:w="2410" w:type="dxa"/>
          </w:tcPr>
          <w:p w14:paraId="062C3CBE" w14:textId="1F97FB67" w:rsidR="007C51F9" w:rsidRPr="0099632B" w:rsidRDefault="007C51F9" w:rsidP="007C51F9">
            <w:pPr>
              <w:rPr>
                <w:rFonts w:ascii="Arial" w:hAnsi="Arial" w:cs="Arial"/>
              </w:rPr>
            </w:pPr>
            <w:r w:rsidRPr="0099632B">
              <w:rPr>
                <w:rFonts w:ascii="Arial" w:hAnsi="Arial" w:cs="Arial"/>
              </w:rPr>
              <w:t>5.7</w:t>
            </w:r>
          </w:p>
        </w:tc>
        <w:tc>
          <w:tcPr>
            <w:tcW w:w="2126" w:type="dxa"/>
          </w:tcPr>
          <w:p w14:paraId="6A22EF22" w14:textId="6A446248" w:rsidR="007C51F9" w:rsidRPr="0099632B" w:rsidRDefault="007C51F9" w:rsidP="007C51F9">
            <w:pPr>
              <w:rPr>
                <w:rFonts w:ascii="Arial" w:hAnsi="Arial" w:cs="Arial"/>
              </w:rPr>
            </w:pPr>
            <w:r w:rsidRPr="0099632B">
              <w:rPr>
                <w:rFonts w:ascii="Arial" w:hAnsi="Arial" w:cs="Arial"/>
              </w:rPr>
              <w:t>7.5</w:t>
            </w:r>
          </w:p>
        </w:tc>
        <w:tc>
          <w:tcPr>
            <w:tcW w:w="2263" w:type="dxa"/>
          </w:tcPr>
          <w:p w14:paraId="593CC856" w14:textId="0319A25E" w:rsidR="007C51F9" w:rsidRPr="0099632B" w:rsidRDefault="007C51F9" w:rsidP="007C51F9">
            <w:pPr>
              <w:rPr>
                <w:rFonts w:ascii="Arial" w:hAnsi="Arial" w:cs="Arial"/>
              </w:rPr>
            </w:pPr>
            <w:r w:rsidRPr="0099632B">
              <w:rPr>
                <w:rFonts w:ascii="Arial" w:hAnsi="Arial" w:cs="Arial"/>
              </w:rPr>
              <w:t>7.9</w:t>
            </w:r>
          </w:p>
        </w:tc>
      </w:tr>
      <w:tr w:rsidR="007C51F9" w:rsidRPr="0099632B" w14:paraId="4F66542B" w14:textId="77777777" w:rsidTr="00A75F8F">
        <w:trPr>
          <w:trHeight w:val="657"/>
        </w:trPr>
        <w:tc>
          <w:tcPr>
            <w:tcW w:w="2830" w:type="dxa"/>
            <w:shd w:val="clear" w:color="auto" w:fill="E7E6E6" w:themeFill="background2"/>
          </w:tcPr>
          <w:p w14:paraId="703CECC0" w14:textId="46EA0142" w:rsidR="007C51F9" w:rsidRPr="0099632B" w:rsidRDefault="007C51F9" w:rsidP="007C51F9">
            <w:pPr>
              <w:rPr>
                <w:rFonts w:ascii="Arial" w:hAnsi="Arial" w:cs="Arial"/>
              </w:rPr>
            </w:pPr>
            <w:r w:rsidRPr="0099632B">
              <w:rPr>
                <w:rFonts w:ascii="Arial" w:hAnsi="Arial" w:cs="Arial"/>
              </w:rPr>
              <w:t>Agriculture, forestry and fishing</w:t>
            </w:r>
          </w:p>
        </w:tc>
        <w:tc>
          <w:tcPr>
            <w:tcW w:w="2410" w:type="dxa"/>
          </w:tcPr>
          <w:p w14:paraId="6C538612" w14:textId="27676330" w:rsidR="007C51F9" w:rsidRPr="0099632B" w:rsidRDefault="007C51F9" w:rsidP="007C51F9">
            <w:pPr>
              <w:rPr>
                <w:rFonts w:ascii="Arial" w:hAnsi="Arial" w:cs="Arial"/>
              </w:rPr>
            </w:pPr>
            <w:r w:rsidRPr="0099632B">
              <w:rPr>
                <w:rFonts w:ascii="Arial" w:hAnsi="Arial" w:cs="Arial"/>
              </w:rPr>
              <w:t>2.7</w:t>
            </w:r>
          </w:p>
        </w:tc>
        <w:tc>
          <w:tcPr>
            <w:tcW w:w="2126" w:type="dxa"/>
          </w:tcPr>
          <w:p w14:paraId="5B4B5859" w14:textId="0BC09971" w:rsidR="007C51F9" w:rsidRPr="0099632B" w:rsidRDefault="007C51F9" w:rsidP="007C51F9">
            <w:pPr>
              <w:rPr>
                <w:rFonts w:ascii="Arial" w:hAnsi="Arial" w:cs="Arial"/>
              </w:rPr>
            </w:pPr>
            <w:r w:rsidRPr="0099632B">
              <w:rPr>
                <w:rFonts w:ascii="Arial" w:hAnsi="Arial" w:cs="Arial"/>
              </w:rPr>
              <w:t>2.5</w:t>
            </w:r>
          </w:p>
        </w:tc>
        <w:tc>
          <w:tcPr>
            <w:tcW w:w="2263" w:type="dxa"/>
          </w:tcPr>
          <w:p w14:paraId="74893940" w14:textId="6FCD08CE" w:rsidR="007C51F9" w:rsidRPr="0099632B" w:rsidRDefault="007C51F9" w:rsidP="007C51F9">
            <w:pPr>
              <w:rPr>
                <w:rFonts w:ascii="Arial" w:hAnsi="Arial" w:cs="Arial"/>
              </w:rPr>
            </w:pPr>
            <w:r w:rsidRPr="0099632B">
              <w:rPr>
                <w:rFonts w:ascii="Arial" w:hAnsi="Arial" w:cs="Arial"/>
              </w:rPr>
              <w:t>2.6</w:t>
            </w:r>
          </w:p>
        </w:tc>
      </w:tr>
      <w:tr w:rsidR="007C51F9" w:rsidRPr="0099632B" w14:paraId="18748680" w14:textId="77777777" w:rsidTr="00A75F8F">
        <w:trPr>
          <w:trHeight w:val="657"/>
        </w:trPr>
        <w:tc>
          <w:tcPr>
            <w:tcW w:w="2830" w:type="dxa"/>
            <w:shd w:val="clear" w:color="auto" w:fill="E7E6E6" w:themeFill="background2"/>
          </w:tcPr>
          <w:p w14:paraId="23B7E2A5" w14:textId="00EC2180" w:rsidR="007C51F9" w:rsidRPr="0099632B" w:rsidRDefault="007C51F9" w:rsidP="007C51F9">
            <w:pPr>
              <w:rPr>
                <w:rFonts w:ascii="Arial" w:hAnsi="Arial" w:cs="Arial"/>
              </w:rPr>
            </w:pPr>
            <w:r w:rsidRPr="0099632B">
              <w:rPr>
                <w:rFonts w:ascii="Arial" w:hAnsi="Arial" w:cs="Arial"/>
              </w:rPr>
              <w:t>Mining</w:t>
            </w:r>
          </w:p>
        </w:tc>
        <w:tc>
          <w:tcPr>
            <w:tcW w:w="2410" w:type="dxa"/>
          </w:tcPr>
          <w:p w14:paraId="607E926E" w14:textId="180D89A5" w:rsidR="007C51F9" w:rsidRPr="0099632B" w:rsidRDefault="007C51F9" w:rsidP="007C51F9">
            <w:pPr>
              <w:rPr>
                <w:rFonts w:ascii="Arial" w:hAnsi="Arial" w:cs="Arial"/>
              </w:rPr>
            </w:pPr>
            <w:r w:rsidRPr="0099632B">
              <w:rPr>
                <w:rFonts w:ascii="Arial" w:hAnsi="Arial" w:cs="Arial"/>
              </w:rPr>
              <w:t>0.3</w:t>
            </w:r>
          </w:p>
        </w:tc>
        <w:tc>
          <w:tcPr>
            <w:tcW w:w="2126" w:type="dxa"/>
          </w:tcPr>
          <w:p w14:paraId="72C47287" w14:textId="2212B1B8" w:rsidR="007C51F9" w:rsidRPr="0099632B" w:rsidRDefault="007C51F9" w:rsidP="007C51F9">
            <w:pPr>
              <w:rPr>
                <w:rFonts w:ascii="Arial" w:hAnsi="Arial" w:cs="Arial"/>
              </w:rPr>
            </w:pPr>
            <w:r w:rsidRPr="0099632B">
              <w:rPr>
                <w:rFonts w:ascii="Arial" w:hAnsi="Arial" w:cs="Arial"/>
              </w:rPr>
              <w:t>0.3</w:t>
            </w:r>
          </w:p>
        </w:tc>
        <w:tc>
          <w:tcPr>
            <w:tcW w:w="2263" w:type="dxa"/>
          </w:tcPr>
          <w:p w14:paraId="756AACCF" w14:textId="13E7EF61" w:rsidR="007C51F9" w:rsidRPr="0099632B" w:rsidRDefault="007C51F9" w:rsidP="007C51F9">
            <w:pPr>
              <w:rPr>
                <w:rFonts w:ascii="Arial" w:hAnsi="Arial" w:cs="Arial"/>
              </w:rPr>
            </w:pPr>
            <w:r w:rsidRPr="0099632B">
              <w:rPr>
                <w:rFonts w:ascii="Arial" w:hAnsi="Arial" w:cs="Arial"/>
              </w:rPr>
              <w:t>0.3</w:t>
            </w:r>
          </w:p>
        </w:tc>
      </w:tr>
      <w:tr w:rsidR="007C51F9" w:rsidRPr="0099632B" w14:paraId="6D0C025D" w14:textId="77777777" w:rsidTr="00A75F8F">
        <w:trPr>
          <w:trHeight w:val="657"/>
        </w:trPr>
        <w:tc>
          <w:tcPr>
            <w:tcW w:w="2830" w:type="dxa"/>
            <w:shd w:val="clear" w:color="auto" w:fill="E7E6E6" w:themeFill="background2"/>
          </w:tcPr>
          <w:p w14:paraId="4958955F" w14:textId="5D323707" w:rsidR="007C51F9" w:rsidRPr="0099632B" w:rsidRDefault="007C51F9" w:rsidP="007C51F9">
            <w:pPr>
              <w:rPr>
                <w:rFonts w:ascii="Arial" w:hAnsi="Arial" w:cs="Arial"/>
              </w:rPr>
            </w:pPr>
            <w:r w:rsidRPr="0099632B">
              <w:rPr>
                <w:rFonts w:ascii="Arial" w:hAnsi="Arial" w:cs="Arial"/>
              </w:rPr>
              <w:t xml:space="preserve">Tourism – Direct </w:t>
            </w:r>
          </w:p>
        </w:tc>
        <w:tc>
          <w:tcPr>
            <w:tcW w:w="2410" w:type="dxa"/>
          </w:tcPr>
          <w:p w14:paraId="6667322E" w14:textId="2FB5EC4C" w:rsidR="007C51F9" w:rsidRPr="0099632B" w:rsidRDefault="007C51F9" w:rsidP="007C51F9">
            <w:pPr>
              <w:rPr>
                <w:rFonts w:ascii="Arial" w:hAnsi="Arial" w:cs="Arial"/>
              </w:rPr>
            </w:pPr>
            <w:r w:rsidRPr="0099632B">
              <w:rPr>
                <w:rFonts w:ascii="Arial" w:hAnsi="Arial" w:cs="Arial"/>
              </w:rPr>
              <w:t>4.9</w:t>
            </w:r>
          </w:p>
        </w:tc>
        <w:tc>
          <w:tcPr>
            <w:tcW w:w="2126" w:type="dxa"/>
          </w:tcPr>
          <w:p w14:paraId="1FFCF24B" w14:textId="6171CBF6" w:rsidR="007C51F9" w:rsidRPr="0099632B" w:rsidRDefault="007C51F9" w:rsidP="007C51F9">
            <w:pPr>
              <w:rPr>
                <w:rFonts w:ascii="Arial" w:hAnsi="Arial" w:cs="Arial"/>
              </w:rPr>
            </w:pPr>
            <w:r w:rsidRPr="0099632B">
              <w:rPr>
                <w:rFonts w:ascii="Arial" w:hAnsi="Arial" w:cs="Arial"/>
              </w:rPr>
              <w:t>4.3</w:t>
            </w:r>
          </w:p>
        </w:tc>
        <w:tc>
          <w:tcPr>
            <w:tcW w:w="2263" w:type="dxa"/>
          </w:tcPr>
          <w:p w14:paraId="45E7EA15" w14:textId="5A3D41A1" w:rsidR="007C51F9" w:rsidRPr="0099632B" w:rsidRDefault="007C51F9" w:rsidP="007C51F9">
            <w:pPr>
              <w:rPr>
                <w:rFonts w:ascii="Arial" w:hAnsi="Arial" w:cs="Arial"/>
              </w:rPr>
            </w:pPr>
            <w:r w:rsidRPr="0099632B">
              <w:rPr>
                <w:rFonts w:ascii="Arial" w:hAnsi="Arial" w:cs="Arial"/>
              </w:rPr>
              <w:t>4.5</w:t>
            </w:r>
          </w:p>
        </w:tc>
      </w:tr>
      <w:tr w:rsidR="007C51F9" w:rsidRPr="00B82E1F" w14:paraId="073BE078" w14:textId="77777777" w:rsidTr="00A75F8F">
        <w:trPr>
          <w:trHeight w:val="657"/>
        </w:trPr>
        <w:tc>
          <w:tcPr>
            <w:tcW w:w="2830" w:type="dxa"/>
            <w:shd w:val="clear" w:color="auto" w:fill="E7E6E6" w:themeFill="background2"/>
          </w:tcPr>
          <w:p w14:paraId="00C3A8B8" w14:textId="4981E52F" w:rsidR="007C51F9" w:rsidRPr="0099632B" w:rsidRDefault="007C51F9" w:rsidP="007C51F9">
            <w:pPr>
              <w:rPr>
                <w:rFonts w:ascii="Arial" w:hAnsi="Arial" w:cs="Arial"/>
                <w:b/>
                <w:bCs/>
              </w:rPr>
            </w:pPr>
            <w:r w:rsidRPr="0099632B">
              <w:rPr>
                <w:rFonts w:ascii="Arial" w:hAnsi="Arial" w:cs="Arial"/>
                <w:b/>
                <w:bCs/>
              </w:rPr>
              <w:t>Tourism – Total (direct and indirect)</w:t>
            </w:r>
          </w:p>
        </w:tc>
        <w:tc>
          <w:tcPr>
            <w:tcW w:w="2410" w:type="dxa"/>
          </w:tcPr>
          <w:p w14:paraId="6D2C42EE" w14:textId="06ADC3B5" w:rsidR="007C51F9" w:rsidRPr="0099632B" w:rsidRDefault="007C51F9" w:rsidP="007C51F9">
            <w:pPr>
              <w:rPr>
                <w:rFonts w:ascii="Arial" w:hAnsi="Arial" w:cs="Arial"/>
                <w:b/>
                <w:bCs/>
              </w:rPr>
            </w:pPr>
            <w:r w:rsidRPr="0099632B">
              <w:rPr>
                <w:rFonts w:ascii="Arial" w:hAnsi="Arial" w:cs="Arial"/>
                <w:b/>
                <w:bCs/>
              </w:rPr>
              <w:t>7.4</w:t>
            </w:r>
          </w:p>
        </w:tc>
        <w:tc>
          <w:tcPr>
            <w:tcW w:w="2126" w:type="dxa"/>
          </w:tcPr>
          <w:p w14:paraId="5610851E" w14:textId="68B14F2B" w:rsidR="007C51F9" w:rsidRPr="0099632B" w:rsidRDefault="007C51F9" w:rsidP="007C51F9">
            <w:pPr>
              <w:rPr>
                <w:rFonts w:ascii="Arial" w:hAnsi="Arial" w:cs="Arial"/>
                <w:b/>
                <w:bCs/>
              </w:rPr>
            </w:pPr>
            <w:r w:rsidRPr="0099632B">
              <w:rPr>
                <w:rFonts w:ascii="Arial" w:hAnsi="Arial" w:cs="Arial"/>
                <w:b/>
                <w:bCs/>
              </w:rPr>
              <w:t>6.7</w:t>
            </w:r>
          </w:p>
        </w:tc>
        <w:tc>
          <w:tcPr>
            <w:tcW w:w="2263" w:type="dxa"/>
          </w:tcPr>
          <w:p w14:paraId="52CFC16A" w14:textId="5E50528C" w:rsidR="007C51F9" w:rsidRPr="0099632B" w:rsidRDefault="007C51F9" w:rsidP="007C51F9">
            <w:pPr>
              <w:rPr>
                <w:rFonts w:ascii="Arial" w:hAnsi="Arial" w:cs="Arial"/>
                <w:b/>
                <w:bCs/>
              </w:rPr>
            </w:pPr>
            <w:r w:rsidRPr="0099632B">
              <w:rPr>
                <w:rFonts w:ascii="Arial" w:hAnsi="Arial" w:cs="Arial"/>
                <w:b/>
                <w:bCs/>
              </w:rPr>
              <w:t>7.1</w:t>
            </w:r>
          </w:p>
        </w:tc>
      </w:tr>
    </w:tbl>
    <w:p w14:paraId="1F1F10B8" w14:textId="40370412" w:rsidR="00A75F8F" w:rsidRPr="00B82E1F" w:rsidRDefault="00A75F8F" w:rsidP="00BC556B">
      <w:pPr>
        <w:pStyle w:val="NoSpacing"/>
        <w:rPr>
          <w:rFonts w:ascii="Arial" w:eastAsiaTheme="majorEastAsia" w:hAnsi="Arial" w:cs="Arial"/>
        </w:rPr>
      </w:pPr>
    </w:p>
    <w:p w14:paraId="0C37AFC6" w14:textId="70097695" w:rsidR="00A75F8F" w:rsidRPr="0099632B" w:rsidRDefault="00C43065" w:rsidP="00E871DA">
      <w:pPr>
        <w:pStyle w:val="Heading3"/>
        <w:rPr>
          <w:rFonts w:ascii="Arial" w:eastAsiaTheme="minorHAnsi" w:hAnsi="Arial" w:cs="Arial"/>
          <w:color w:val="002060"/>
        </w:rPr>
      </w:pPr>
      <w:r w:rsidRPr="00B82E1F">
        <w:rPr>
          <w:rFonts w:ascii="Arial" w:eastAsiaTheme="minorHAnsi" w:hAnsi="Arial" w:cs="Arial"/>
          <w:color w:val="002060"/>
        </w:rPr>
        <w:t xml:space="preserve">9.5.4 </w:t>
      </w:r>
      <w:r w:rsidR="00142E69" w:rsidRPr="0099632B">
        <w:rPr>
          <w:rFonts w:ascii="Arial" w:eastAsiaTheme="minorHAnsi" w:hAnsi="Arial" w:cs="Arial"/>
          <w:color w:val="002060"/>
        </w:rPr>
        <w:t>Percentage</w:t>
      </w:r>
      <w:r w:rsidR="00A75F8F" w:rsidRPr="0099632B">
        <w:rPr>
          <w:rFonts w:ascii="Arial" w:eastAsiaTheme="minorHAnsi" w:hAnsi="Arial" w:cs="Arial"/>
          <w:color w:val="002060"/>
        </w:rPr>
        <w:t xml:space="preserve"> change in share of industry contributions to Victoria’s </w:t>
      </w:r>
      <w:r w:rsidR="003F2704" w:rsidRPr="0099632B">
        <w:rPr>
          <w:rFonts w:ascii="Arial" w:eastAsiaTheme="minorHAnsi" w:hAnsi="Arial" w:cs="Arial"/>
          <w:color w:val="002060"/>
        </w:rPr>
        <w:t xml:space="preserve">direct </w:t>
      </w:r>
      <w:r w:rsidR="0066440D" w:rsidRPr="0099632B">
        <w:rPr>
          <w:rFonts w:ascii="Arial" w:eastAsiaTheme="minorHAnsi" w:hAnsi="Arial" w:cs="Arial"/>
          <w:color w:val="002060"/>
        </w:rPr>
        <w:t>filled jobs</w:t>
      </w:r>
      <w:r w:rsidR="00A75F8F" w:rsidRPr="0099632B">
        <w:rPr>
          <w:rFonts w:ascii="Arial" w:eastAsiaTheme="minorHAnsi" w:hAnsi="Arial" w:cs="Arial"/>
          <w:color w:val="002060"/>
        </w:rPr>
        <w:t xml:space="preserve"> </w:t>
      </w:r>
      <w:r w:rsidR="00675AA8" w:rsidRPr="0099632B">
        <w:rPr>
          <w:rFonts w:ascii="Arial" w:eastAsiaTheme="minorHAnsi" w:hAnsi="Arial" w:cs="Arial"/>
          <w:color w:val="002060"/>
        </w:rPr>
        <w:t xml:space="preserve">in </w:t>
      </w:r>
      <w:r w:rsidR="00087CA3" w:rsidRPr="0099632B">
        <w:rPr>
          <w:rFonts w:ascii="Arial" w:eastAsiaTheme="minorHAnsi" w:hAnsi="Arial" w:cs="Arial"/>
          <w:color w:val="002060"/>
        </w:rPr>
        <w:t>2023-24</w:t>
      </w:r>
      <w:r w:rsidR="00675AA8" w:rsidRPr="0099632B">
        <w:rPr>
          <w:rFonts w:ascii="Arial" w:eastAsiaTheme="minorHAnsi" w:hAnsi="Arial" w:cs="Arial"/>
          <w:color w:val="002060"/>
        </w:rPr>
        <w:t xml:space="preserve"> </w:t>
      </w:r>
      <w:r w:rsidR="00A75F8F" w:rsidRPr="0099632B">
        <w:rPr>
          <w:rFonts w:ascii="Arial" w:eastAsiaTheme="minorHAnsi" w:hAnsi="Arial" w:cs="Arial"/>
          <w:color w:val="002060"/>
        </w:rPr>
        <w:t xml:space="preserve">compared to </w:t>
      </w:r>
      <w:r w:rsidR="001111CF" w:rsidRPr="0099632B">
        <w:rPr>
          <w:rFonts w:ascii="Arial" w:eastAsiaTheme="minorHAnsi" w:hAnsi="Arial" w:cs="Arial"/>
          <w:color w:val="002060"/>
        </w:rPr>
        <w:t>2022-23</w:t>
      </w:r>
      <w:r w:rsidR="00AE639E" w:rsidRPr="0099632B">
        <w:rPr>
          <w:rFonts w:ascii="Arial" w:eastAsiaTheme="minorHAnsi" w:hAnsi="Arial" w:cs="Arial"/>
          <w:color w:val="002060"/>
        </w:rPr>
        <w:t xml:space="preserve"> and 2018-19</w:t>
      </w:r>
      <w:r w:rsidR="00313271" w:rsidRPr="0099632B">
        <w:rPr>
          <w:rFonts w:ascii="Arial" w:eastAsiaTheme="minorHAnsi" w:hAnsi="Arial" w:cs="Arial"/>
          <w:color w:val="002060"/>
        </w:rPr>
        <w:t>.</w:t>
      </w:r>
      <w:r w:rsidR="00A75F8F" w:rsidRPr="0099632B">
        <w:rPr>
          <w:rFonts w:ascii="Arial" w:eastAsiaTheme="minorHAnsi" w:hAnsi="Arial" w:cs="Arial"/>
          <w:color w:val="002060"/>
        </w:rPr>
        <w:t xml:space="preserve"> </w:t>
      </w:r>
    </w:p>
    <w:tbl>
      <w:tblPr>
        <w:tblStyle w:val="TableGrid"/>
        <w:tblpPr w:leftFromText="180" w:rightFromText="180" w:vertAnchor="text" w:horzAnchor="margin" w:tblpY="166"/>
        <w:tblW w:w="9776" w:type="dxa"/>
        <w:tblLook w:val="04A0" w:firstRow="1" w:lastRow="0" w:firstColumn="1" w:lastColumn="0" w:noHBand="0" w:noVBand="1"/>
      </w:tblPr>
      <w:tblGrid>
        <w:gridCol w:w="2689"/>
        <w:gridCol w:w="3543"/>
        <w:gridCol w:w="3544"/>
      </w:tblGrid>
      <w:tr w:rsidR="00A75F8F" w:rsidRPr="0099632B" w14:paraId="77AA13F1" w14:textId="77777777" w:rsidTr="00790FF5">
        <w:trPr>
          <w:trHeight w:val="428"/>
          <w:tblHeader/>
        </w:trPr>
        <w:tc>
          <w:tcPr>
            <w:tcW w:w="2689" w:type="dxa"/>
            <w:tcBorders>
              <w:bottom w:val="nil"/>
            </w:tcBorders>
            <w:shd w:val="clear" w:color="auto" w:fill="E7E6E6" w:themeFill="background2"/>
          </w:tcPr>
          <w:p w14:paraId="4F5EE538" w14:textId="77777777" w:rsidR="00A75F8F" w:rsidRPr="0099632B" w:rsidRDefault="00A75F8F" w:rsidP="004A110B">
            <w:pPr>
              <w:rPr>
                <w:rFonts w:ascii="Arial" w:hAnsi="Arial" w:cs="Arial"/>
                <w:b/>
                <w:bCs/>
              </w:rPr>
            </w:pPr>
            <w:bookmarkStart w:id="78" w:name="Title_32" w:colFirst="0" w:colLast="0"/>
            <w:r w:rsidRPr="0099632B">
              <w:rPr>
                <w:rFonts w:ascii="Arial" w:hAnsi="Arial" w:cs="Arial"/>
                <w:b/>
                <w:bCs/>
              </w:rPr>
              <w:t xml:space="preserve">Industry </w:t>
            </w:r>
          </w:p>
        </w:tc>
        <w:tc>
          <w:tcPr>
            <w:tcW w:w="3543" w:type="dxa"/>
            <w:tcBorders>
              <w:bottom w:val="nil"/>
            </w:tcBorders>
            <w:shd w:val="clear" w:color="auto" w:fill="E7E6E6" w:themeFill="background2"/>
          </w:tcPr>
          <w:p w14:paraId="068C6838" w14:textId="5AFA1610" w:rsidR="00A75F8F" w:rsidRPr="0099632B" w:rsidRDefault="00A75F8F" w:rsidP="004A110B">
            <w:pPr>
              <w:rPr>
                <w:rFonts w:ascii="Arial" w:hAnsi="Arial" w:cs="Arial"/>
                <w:b/>
                <w:bCs/>
              </w:rPr>
            </w:pPr>
            <w:r w:rsidRPr="0099632B">
              <w:rPr>
                <w:rFonts w:ascii="Arial" w:hAnsi="Arial" w:cs="Arial"/>
                <w:b/>
                <w:bCs/>
              </w:rPr>
              <w:t xml:space="preserve">% point change compared to </w:t>
            </w:r>
            <w:r w:rsidR="001111CF" w:rsidRPr="0099632B">
              <w:rPr>
                <w:rFonts w:ascii="Arial" w:hAnsi="Arial" w:cs="Arial"/>
                <w:b/>
                <w:bCs/>
              </w:rPr>
              <w:t>2022-23</w:t>
            </w:r>
          </w:p>
        </w:tc>
        <w:tc>
          <w:tcPr>
            <w:tcW w:w="3544" w:type="dxa"/>
            <w:tcBorders>
              <w:bottom w:val="nil"/>
            </w:tcBorders>
            <w:shd w:val="clear" w:color="auto" w:fill="E7E6E6" w:themeFill="background2"/>
          </w:tcPr>
          <w:p w14:paraId="5386DBC6" w14:textId="77777777" w:rsidR="00A75F8F" w:rsidRPr="0099632B" w:rsidRDefault="00A75F8F" w:rsidP="004A110B">
            <w:pPr>
              <w:rPr>
                <w:rFonts w:ascii="Arial" w:hAnsi="Arial" w:cs="Arial"/>
                <w:b/>
                <w:bCs/>
              </w:rPr>
            </w:pPr>
            <w:r w:rsidRPr="0099632B">
              <w:rPr>
                <w:rFonts w:ascii="Arial" w:hAnsi="Arial" w:cs="Arial"/>
                <w:b/>
                <w:bCs/>
              </w:rPr>
              <w:t>% point change compared to 2018-19</w:t>
            </w:r>
          </w:p>
        </w:tc>
      </w:tr>
      <w:bookmarkEnd w:id="78"/>
      <w:tr w:rsidR="002B675D" w:rsidRPr="0099632B" w14:paraId="5907AF83" w14:textId="77777777" w:rsidTr="0076762E">
        <w:trPr>
          <w:trHeight w:val="632"/>
        </w:trPr>
        <w:tc>
          <w:tcPr>
            <w:tcW w:w="2689" w:type="dxa"/>
            <w:shd w:val="clear" w:color="auto" w:fill="E7E6E6" w:themeFill="background2"/>
          </w:tcPr>
          <w:p w14:paraId="52CBFCA9" w14:textId="4A7342F3" w:rsidR="002B675D" w:rsidRPr="0099632B" w:rsidRDefault="002B675D" w:rsidP="002B675D">
            <w:pPr>
              <w:rPr>
                <w:rFonts w:ascii="Arial" w:hAnsi="Arial" w:cs="Arial"/>
              </w:rPr>
            </w:pPr>
            <w:r w:rsidRPr="0099632B">
              <w:rPr>
                <w:rFonts w:ascii="Arial" w:hAnsi="Arial" w:cs="Arial"/>
              </w:rPr>
              <w:t xml:space="preserve">Health care </w:t>
            </w:r>
            <w:r w:rsidR="001B0A6C" w:rsidRPr="0099632B">
              <w:rPr>
                <w:rFonts w:ascii="Arial" w:hAnsi="Arial" w:cs="Arial"/>
              </w:rPr>
              <w:t>and</w:t>
            </w:r>
            <w:r w:rsidRPr="0099632B">
              <w:rPr>
                <w:rFonts w:ascii="Arial" w:hAnsi="Arial" w:cs="Arial"/>
              </w:rPr>
              <w:t xml:space="preserve"> social assistance</w:t>
            </w:r>
          </w:p>
        </w:tc>
        <w:tc>
          <w:tcPr>
            <w:tcW w:w="3543" w:type="dxa"/>
          </w:tcPr>
          <w:p w14:paraId="76A8BFD3" w14:textId="61A8D942" w:rsidR="002B675D" w:rsidRPr="0099632B" w:rsidRDefault="007C51F9" w:rsidP="002B675D">
            <w:pPr>
              <w:rPr>
                <w:rFonts w:ascii="Arial" w:hAnsi="Arial" w:cs="Arial"/>
              </w:rPr>
            </w:pPr>
            <w:r w:rsidRPr="0099632B">
              <w:rPr>
                <w:rFonts w:ascii="Arial" w:hAnsi="Arial" w:cs="Arial"/>
              </w:rPr>
              <w:t>In</w:t>
            </w:r>
            <w:r w:rsidR="002B675D" w:rsidRPr="0099632B">
              <w:rPr>
                <w:rFonts w:ascii="Arial" w:hAnsi="Arial" w:cs="Arial"/>
              </w:rPr>
              <w:t>creased 0.</w:t>
            </w:r>
            <w:r w:rsidRPr="0099632B">
              <w:rPr>
                <w:rFonts w:ascii="Arial" w:hAnsi="Arial" w:cs="Arial"/>
              </w:rPr>
              <w:t>8</w:t>
            </w:r>
            <w:r w:rsidR="002B675D" w:rsidRPr="0099632B">
              <w:rPr>
                <w:rFonts w:ascii="Arial" w:hAnsi="Arial" w:cs="Arial"/>
              </w:rPr>
              <w:t>% point</w:t>
            </w:r>
            <w:r w:rsidRPr="0099632B">
              <w:rPr>
                <w:rFonts w:ascii="Arial" w:hAnsi="Arial" w:cs="Arial"/>
              </w:rPr>
              <w:t>s</w:t>
            </w:r>
            <w:r w:rsidR="002B675D" w:rsidRPr="0099632B">
              <w:rPr>
                <w:rFonts w:ascii="Arial" w:hAnsi="Arial" w:cs="Arial"/>
              </w:rPr>
              <w:t xml:space="preserve"> compared to 2022-23 financial year</w:t>
            </w:r>
          </w:p>
        </w:tc>
        <w:tc>
          <w:tcPr>
            <w:tcW w:w="3544" w:type="dxa"/>
          </w:tcPr>
          <w:p w14:paraId="42D3F917" w14:textId="3429149C" w:rsidR="002B675D" w:rsidRPr="0099632B" w:rsidRDefault="00465CEB" w:rsidP="002B675D">
            <w:pPr>
              <w:rPr>
                <w:rFonts w:ascii="Arial" w:hAnsi="Arial" w:cs="Arial"/>
              </w:rPr>
            </w:pPr>
            <w:r w:rsidRPr="0099632B">
              <w:rPr>
                <w:rFonts w:ascii="Arial" w:hAnsi="Arial" w:cs="Arial"/>
              </w:rPr>
              <w:t>Increased 2.7% points compared to 2018-19 financial year</w:t>
            </w:r>
          </w:p>
        </w:tc>
      </w:tr>
      <w:tr w:rsidR="002B675D" w:rsidRPr="0099632B" w14:paraId="415D9B6F" w14:textId="77777777" w:rsidTr="00790FF5">
        <w:trPr>
          <w:trHeight w:val="635"/>
        </w:trPr>
        <w:tc>
          <w:tcPr>
            <w:tcW w:w="2689" w:type="dxa"/>
            <w:shd w:val="clear" w:color="auto" w:fill="E7E6E6" w:themeFill="background2"/>
          </w:tcPr>
          <w:p w14:paraId="16E50B5C" w14:textId="0924E467" w:rsidR="002B675D" w:rsidRPr="0099632B" w:rsidRDefault="002B675D" w:rsidP="002B675D">
            <w:pPr>
              <w:rPr>
                <w:rFonts w:ascii="Arial" w:hAnsi="Arial" w:cs="Arial"/>
              </w:rPr>
            </w:pPr>
            <w:r w:rsidRPr="0099632B">
              <w:rPr>
                <w:rFonts w:ascii="Arial" w:hAnsi="Arial" w:cs="Arial"/>
              </w:rPr>
              <w:t>Financial and insurance services</w:t>
            </w:r>
          </w:p>
        </w:tc>
        <w:tc>
          <w:tcPr>
            <w:tcW w:w="3543" w:type="dxa"/>
          </w:tcPr>
          <w:p w14:paraId="6BF188EF" w14:textId="73770D07" w:rsidR="002B675D" w:rsidRPr="0099632B" w:rsidRDefault="00167C75" w:rsidP="002B675D">
            <w:pPr>
              <w:rPr>
                <w:rFonts w:ascii="Arial" w:hAnsi="Arial" w:cs="Arial"/>
              </w:rPr>
            </w:pPr>
            <w:r w:rsidRPr="0099632B">
              <w:rPr>
                <w:rFonts w:ascii="Arial" w:hAnsi="Arial" w:cs="Arial"/>
              </w:rPr>
              <w:t>Decreased 0.1% point compared to 2022-23 financial year</w:t>
            </w:r>
          </w:p>
        </w:tc>
        <w:tc>
          <w:tcPr>
            <w:tcW w:w="3544" w:type="dxa"/>
          </w:tcPr>
          <w:p w14:paraId="2C1F21BA" w14:textId="6CD2E2BB" w:rsidR="002B675D" w:rsidRPr="0099632B" w:rsidRDefault="00465CEB" w:rsidP="002B675D">
            <w:pPr>
              <w:rPr>
                <w:rFonts w:ascii="Arial" w:hAnsi="Arial" w:cs="Arial"/>
              </w:rPr>
            </w:pPr>
            <w:r w:rsidRPr="0099632B">
              <w:rPr>
                <w:rFonts w:ascii="Arial" w:hAnsi="Arial" w:cs="Arial"/>
              </w:rPr>
              <w:t>Decreased 0.1% point compared to 2018-19 financial year</w:t>
            </w:r>
          </w:p>
        </w:tc>
      </w:tr>
      <w:tr w:rsidR="002B675D" w:rsidRPr="0099632B" w14:paraId="39AB9C95" w14:textId="77777777" w:rsidTr="00790FF5">
        <w:trPr>
          <w:trHeight w:val="633"/>
        </w:trPr>
        <w:tc>
          <w:tcPr>
            <w:tcW w:w="2689" w:type="dxa"/>
            <w:shd w:val="clear" w:color="auto" w:fill="E7E6E6" w:themeFill="background2"/>
          </w:tcPr>
          <w:p w14:paraId="3F20DA60" w14:textId="277F43B6" w:rsidR="002B675D" w:rsidRPr="0099632B" w:rsidRDefault="002B675D" w:rsidP="002B675D">
            <w:pPr>
              <w:rPr>
                <w:rFonts w:ascii="Arial" w:hAnsi="Arial" w:cs="Arial"/>
              </w:rPr>
            </w:pPr>
            <w:r w:rsidRPr="0099632B">
              <w:rPr>
                <w:rFonts w:ascii="Arial" w:hAnsi="Arial" w:cs="Arial"/>
              </w:rPr>
              <w:t>Professional, scientific and technical services</w:t>
            </w:r>
          </w:p>
        </w:tc>
        <w:tc>
          <w:tcPr>
            <w:tcW w:w="3543" w:type="dxa"/>
          </w:tcPr>
          <w:p w14:paraId="6A6661AD" w14:textId="4DE6E30B" w:rsidR="002B675D" w:rsidRPr="0099632B" w:rsidRDefault="00167C75" w:rsidP="002B675D">
            <w:pPr>
              <w:rPr>
                <w:rFonts w:ascii="Arial" w:hAnsi="Arial" w:cs="Arial"/>
              </w:rPr>
            </w:pPr>
            <w:r w:rsidRPr="0099632B">
              <w:rPr>
                <w:rFonts w:ascii="Arial" w:hAnsi="Arial" w:cs="Arial"/>
              </w:rPr>
              <w:t>No change compared to 2022-23 financial year</w:t>
            </w:r>
          </w:p>
        </w:tc>
        <w:tc>
          <w:tcPr>
            <w:tcW w:w="3544" w:type="dxa"/>
          </w:tcPr>
          <w:p w14:paraId="74BE0AA7" w14:textId="7A7436A8" w:rsidR="002B675D" w:rsidRPr="0099632B" w:rsidRDefault="002B675D" w:rsidP="002B675D">
            <w:pPr>
              <w:rPr>
                <w:rFonts w:ascii="Arial" w:hAnsi="Arial" w:cs="Arial"/>
              </w:rPr>
            </w:pPr>
            <w:r w:rsidRPr="0099632B">
              <w:rPr>
                <w:rFonts w:ascii="Arial" w:hAnsi="Arial" w:cs="Arial"/>
              </w:rPr>
              <w:t>Decreased 1</w:t>
            </w:r>
            <w:r w:rsidR="00540B46" w:rsidRPr="0099632B">
              <w:rPr>
                <w:rFonts w:ascii="Arial" w:hAnsi="Arial" w:cs="Arial"/>
              </w:rPr>
              <w:t>.0</w:t>
            </w:r>
            <w:r w:rsidRPr="0099632B">
              <w:rPr>
                <w:rFonts w:ascii="Arial" w:hAnsi="Arial" w:cs="Arial"/>
              </w:rPr>
              <w:t xml:space="preserve">% point compared to 2018-19 financial year </w:t>
            </w:r>
          </w:p>
        </w:tc>
      </w:tr>
      <w:tr w:rsidR="002B675D" w:rsidRPr="0099632B" w14:paraId="7E0D3D71" w14:textId="77777777" w:rsidTr="00790FF5">
        <w:trPr>
          <w:trHeight w:val="629"/>
        </w:trPr>
        <w:tc>
          <w:tcPr>
            <w:tcW w:w="2689" w:type="dxa"/>
            <w:shd w:val="clear" w:color="auto" w:fill="E7E6E6" w:themeFill="background2"/>
          </w:tcPr>
          <w:p w14:paraId="07A2D9F9" w14:textId="5E07119C" w:rsidR="002B675D" w:rsidRPr="0099632B" w:rsidRDefault="002B675D" w:rsidP="002B675D">
            <w:pPr>
              <w:rPr>
                <w:rFonts w:ascii="Arial" w:hAnsi="Arial" w:cs="Arial"/>
              </w:rPr>
            </w:pPr>
            <w:r w:rsidRPr="0099632B">
              <w:rPr>
                <w:rFonts w:ascii="Arial" w:hAnsi="Arial" w:cs="Arial"/>
              </w:rPr>
              <w:t>Construction</w:t>
            </w:r>
          </w:p>
        </w:tc>
        <w:tc>
          <w:tcPr>
            <w:tcW w:w="3543" w:type="dxa"/>
          </w:tcPr>
          <w:p w14:paraId="0D90D0C5" w14:textId="4D0884F9" w:rsidR="002B675D" w:rsidRPr="0099632B" w:rsidRDefault="002B675D" w:rsidP="002B675D">
            <w:pPr>
              <w:rPr>
                <w:rFonts w:ascii="Arial" w:hAnsi="Arial" w:cs="Arial"/>
              </w:rPr>
            </w:pPr>
            <w:r w:rsidRPr="0099632B">
              <w:rPr>
                <w:rFonts w:ascii="Arial" w:hAnsi="Arial" w:cs="Arial"/>
              </w:rPr>
              <w:t>Decreased 0.2% points compared to 2022-23 financial year</w:t>
            </w:r>
          </w:p>
        </w:tc>
        <w:tc>
          <w:tcPr>
            <w:tcW w:w="3544" w:type="dxa"/>
          </w:tcPr>
          <w:p w14:paraId="07A5C899" w14:textId="4BFDC1EB" w:rsidR="002B675D" w:rsidRPr="0099632B" w:rsidRDefault="002B675D" w:rsidP="002B675D">
            <w:pPr>
              <w:rPr>
                <w:rFonts w:ascii="Arial" w:hAnsi="Arial" w:cs="Arial"/>
              </w:rPr>
            </w:pPr>
            <w:r w:rsidRPr="0099632B">
              <w:rPr>
                <w:rFonts w:ascii="Arial" w:hAnsi="Arial" w:cs="Arial"/>
              </w:rPr>
              <w:t>Decreased 0.</w:t>
            </w:r>
            <w:r w:rsidR="00465CEB" w:rsidRPr="0099632B">
              <w:rPr>
                <w:rFonts w:ascii="Arial" w:hAnsi="Arial" w:cs="Arial"/>
              </w:rPr>
              <w:t>6</w:t>
            </w:r>
            <w:r w:rsidRPr="0099632B">
              <w:rPr>
                <w:rFonts w:ascii="Arial" w:hAnsi="Arial" w:cs="Arial"/>
              </w:rPr>
              <w:t xml:space="preserve">% points compared to 2018-19 financial year </w:t>
            </w:r>
          </w:p>
        </w:tc>
      </w:tr>
      <w:tr w:rsidR="002B675D" w:rsidRPr="0099632B" w14:paraId="5DD600A4" w14:textId="77777777" w:rsidTr="00790FF5">
        <w:trPr>
          <w:trHeight w:val="657"/>
        </w:trPr>
        <w:tc>
          <w:tcPr>
            <w:tcW w:w="2689" w:type="dxa"/>
            <w:shd w:val="clear" w:color="auto" w:fill="E7E6E6" w:themeFill="background2"/>
          </w:tcPr>
          <w:p w14:paraId="5CFB0A2A" w14:textId="15BEF312" w:rsidR="002B675D" w:rsidRPr="0099632B" w:rsidRDefault="002B675D" w:rsidP="002B675D">
            <w:pPr>
              <w:rPr>
                <w:rFonts w:ascii="Arial" w:hAnsi="Arial" w:cs="Arial"/>
              </w:rPr>
            </w:pPr>
            <w:r w:rsidRPr="0099632B">
              <w:rPr>
                <w:rFonts w:ascii="Arial" w:hAnsi="Arial" w:cs="Arial"/>
              </w:rPr>
              <w:t>Manufacturing</w:t>
            </w:r>
          </w:p>
        </w:tc>
        <w:tc>
          <w:tcPr>
            <w:tcW w:w="3543" w:type="dxa"/>
          </w:tcPr>
          <w:p w14:paraId="25C1DFAD" w14:textId="393BB20A" w:rsidR="002B675D" w:rsidRPr="0099632B" w:rsidRDefault="002B675D" w:rsidP="002B675D">
            <w:pPr>
              <w:rPr>
                <w:rFonts w:ascii="Arial" w:hAnsi="Arial" w:cs="Arial"/>
              </w:rPr>
            </w:pPr>
            <w:r w:rsidRPr="0099632B">
              <w:rPr>
                <w:rFonts w:ascii="Arial" w:hAnsi="Arial" w:cs="Arial"/>
              </w:rPr>
              <w:t>Decreased 0.</w:t>
            </w:r>
            <w:r w:rsidR="00BA3AB1" w:rsidRPr="0099632B">
              <w:rPr>
                <w:rFonts w:ascii="Arial" w:hAnsi="Arial" w:cs="Arial"/>
              </w:rPr>
              <w:t>1</w:t>
            </w:r>
            <w:r w:rsidRPr="0099632B">
              <w:rPr>
                <w:rFonts w:ascii="Arial" w:hAnsi="Arial" w:cs="Arial"/>
              </w:rPr>
              <w:t>% point compared to 2022-23 financial year</w:t>
            </w:r>
          </w:p>
        </w:tc>
        <w:tc>
          <w:tcPr>
            <w:tcW w:w="3544" w:type="dxa"/>
          </w:tcPr>
          <w:p w14:paraId="19AEB156" w14:textId="1F8E167F" w:rsidR="002B675D" w:rsidRPr="0099632B" w:rsidRDefault="002B675D" w:rsidP="002B675D">
            <w:pPr>
              <w:rPr>
                <w:rFonts w:ascii="Arial" w:hAnsi="Arial" w:cs="Arial"/>
              </w:rPr>
            </w:pPr>
            <w:r w:rsidRPr="0099632B">
              <w:rPr>
                <w:rFonts w:ascii="Arial" w:hAnsi="Arial" w:cs="Arial"/>
              </w:rPr>
              <w:t>Decreased 0.</w:t>
            </w:r>
            <w:r w:rsidR="00465CEB" w:rsidRPr="0099632B">
              <w:rPr>
                <w:rFonts w:ascii="Arial" w:hAnsi="Arial" w:cs="Arial"/>
              </w:rPr>
              <w:t>7</w:t>
            </w:r>
            <w:r w:rsidRPr="0099632B">
              <w:rPr>
                <w:rFonts w:ascii="Arial" w:hAnsi="Arial" w:cs="Arial"/>
              </w:rPr>
              <w:t>% points compared to 2018-19 financial year</w:t>
            </w:r>
          </w:p>
        </w:tc>
      </w:tr>
      <w:tr w:rsidR="002B675D" w:rsidRPr="0099632B" w14:paraId="5C19DC38" w14:textId="77777777" w:rsidTr="00790FF5">
        <w:trPr>
          <w:trHeight w:val="657"/>
        </w:trPr>
        <w:tc>
          <w:tcPr>
            <w:tcW w:w="2689" w:type="dxa"/>
            <w:shd w:val="clear" w:color="auto" w:fill="E7E6E6" w:themeFill="background2"/>
          </w:tcPr>
          <w:p w14:paraId="75E36998" w14:textId="18B7B183" w:rsidR="002B675D" w:rsidRPr="0099632B" w:rsidRDefault="002B675D" w:rsidP="002B675D">
            <w:pPr>
              <w:rPr>
                <w:rFonts w:ascii="Arial" w:hAnsi="Arial" w:cs="Arial"/>
              </w:rPr>
            </w:pPr>
            <w:r w:rsidRPr="0099632B">
              <w:rPr>
                <w:rFonts w:ascii="Arial" w:hAnsi="Arial" w:cs="Arial"/>
              </w:rPr>
              <w:t xml:space="preserve">Education </w:t>
            </w:r>
            <w:r w:rsidR="001B0A6C" w:rsidRPr="0099632B">
              <w:rPr>
                <w:rFonts w:ascii="Arial" w:hAnsi="Arial" w:cs="Arial"/>
              </w:rPr>
              <w:t>and</w:t>
            </w:r>
            <w:r w:rsidRPr="0099632B">
              <w:rPr>
                <w:rFonts w:ascii="Arial" w:hAnsi="Arial" w:cs="Arial"/>
              </w:rPr>
              <w:t xml:space="preserve"> training</w:t>
            </w:r>
          </w:p>
        </w:tc>
        <w:tc>
          <w:tcPr>
            <w:tcW w:w="3543" w:type="dxa"/>
          </w:tcPr>
          <w:p w14:paraId="3056DA24" w14:textId="76CD4965" w:rsidR="002B675D" w:rsidRPr="0099632B" w:rsidRDefault="002B675D" w:rsidP="002B675D">
            <w:pPr>
              <w:rPr>
                <w:rFonts w:ascii="Arial" w:hAnsi="Arial" w:cs="Arial"/>
              </w:rPr>
            </w:pPr>
            <w:r w:rsidRPr="0099632B">
              <w:rPr>
                <w:rFonts w:ascii="Arial" w:hAnsi="Arial" w:cs="Arial"/>
              </w:rPr>
              <w:t>Increased 0.</w:t>
            </w:r>
            <w:r w:rsidR="00BA3AB1" w:rsidRPr="0099632B">
              <w:rPr>
                <w:rFonts w:ascii="Arial" w:hAnsi="Arial" w:cs="Arial"/>
              </w:rPr>
              <w:t>4</w:t>
            </w:r>
            <w:r w:rsidRPr="0099632B">
              <w:rPr>
                <w:rFonts w:ascii="Arial" w:hAnsi="Arial" w:cs="Arial"/>
              </w:rPr>
              <w:t>% points compared to 2022-23 financial year</w:t>
            </w:r>
          </w:p>
        </w:tc>
        <w:tc>
          <w:tcPr>
            <w:tcW w:w="3544" w:type="dxa"/>
          </w:tcPr>
          <w:p w14:paraId="0EFB5C8A" w14:textId="56F52AA2" w:rsidR="002B675D" w:rsidRPr="0099632B" w:rsidRDefault="002B675D" w:rsidP="002B675D">
            <w:pPr>
              <w:rPr>
                <w:rFonts w:ascii="Arial" w:hAnsi="Arial" w:cs="Arial"/>
              </w:rPr>
            </w:pPr>
            <w:r w:rsidRPr="0099632B">
              <w:rPr>
                <w:rFonts w:ascii="Arial" w:hAnsi="Arial" w:cs="Arial"/>
              </w:rPr>
              <w:t xml:space="preserve">Increased </w:t>
            </w:r>
            <w:r w:rsidR="00465CEB" w:rsidRPr="0099632B">
              <w:rPr>
                <w:rFonts w:ascii="Arial" w:hAnsi="Arial" w:cs="Arial"/>
              </w:rPr>
              <w:t>2.2</w:t>
            </w:r>
            <w:r w:rsidRPr="0099632B">
              <w:rPr>
                <w:rFonts w:ascii="Arial" w:hAnsi="Arial" w:cs="Arial"/>
              </w:rPr>
              <w:t>% points compared to 2018-19 financial year</w:t>
            </w:r>
          </w:p>
        </w:tc>
      </w:tr>
      <w:tr w:rsidR="002B675D" w:rsidRPr="0099632B" w14:paraId="6122FC02" w14:textId="77777777" w:rsidTr="00790FF5">
        <w:trPr>
          <w:trHeight w:val="657"/>
        </w:trPr>
        <w:tc>
          <w:tcPr>
            <w:tcW w:w="2689" w:type="dxa"/>
            <w:shd w:val="clear" w:color="auto" w:fill="E7E6E6" w:themeFill="background2"/>
          </w:tcPr>
          <w:p w14:paraId="67223220" w14:textId="57D44808" w:rsidR="002B675D" w:rsidRPr="0099632B" w:rsidRDefault="002B675D" w:rsidP="002B675D">
            <w:pPr>
              <w:rPr>
                <w:rFonts w:ascii="Arial" w:hAnsi="Arial" w:cs="Arial"/>
              </w:rPr>
            </w:pPr>
            <w:r w:rsidRPr="0099632B">
              <w:rPr>
                <w:rFonts w:ascii="Arial" w:hAnsi="Arial" w:cs="Arial"/>
              </w:rPr>
              <w:t>Agriculture, forestry and fishing</w:t>
            </w:r>
          </w:p>
        </w:tc>
        <w:tc>
          <w:tcPr>
            <w:tcW w:w="3543" w:type="dxa"/>
          </w:tcPr>
          <w:p w14:paraId="25E9D10A" w14:textId="59A28544" w:rsidR="002B675D" w:rsidRPr="0099632B" w:rsidRDefault="00BA3AB1" w:rsidP="002B675D">
            <w:pPr>
              <w:rPr>
                <w:rFonts w:ascii="Arial" w:hAnsi="Arial" w:cs="Arial"/>
              </w:rPr>
            </w:pPr>
            <w:r w:rsidRPr="0099632B">
              <w:rPr>
                <w:rFonts w:ascii="Arial" w:hAnsi="Arial" w:cs="Arial"/>
              </w:rPr>
              <w:t>Increased 0.1% point compared to 2022-23 financial year</w:t>
            </w:r>
          </w:p>
        </w:tc>
        <w:tc>
          <w:tcPr>
            <w:tcW w:w="3544" w:type="dxa"/>
          </w:tcPr>
          <w:p w14:paraId="16053730" w14:textId="422A0412" w:rsidR="002B675D" w:rsidRPr="0099632B" w:rsidRDefault="002B675D" w:rsidP="002B675D">
            <w:pPr>
              <w:rPr>
                <w:rFonts w:ascii="Arial" w:hAnsi="Arial" w:cs="Arial"/>
              </w:rPr>
            </w:pPr>
            <w:r w:rsidRPr="0099632B">
              <w:rPr>
                <w:rFonts w:ascii="Arial" w:hAnsi="Arial" w:cs="Arial"/>
              </w:rPr>
              <w:t>Decreased 0.</w:t>
            </w:r>
            <w:r w:rsidR="00BA3AB1" w:rsidRPr="0099632B">
              <w:rPr>
                <w:rFonts w:ascii="Arial" w:hAnsi="Arial" w:cs="Arial"/>
              </w:rPr>
              <w:t>1</w:t>
            </w:r>
            <w:r w:rsidRPr="0099632B">
              <w:rPr>
                <w:rFonts w:ascii="Arial" w:hAnsi="Arial" w:cs="Arial"/>
              </w:rPr>
              <w:t xml:space="preserve">% point compared to 2018-19 financial year </w:t>
            </w:r>
          </w:p>
        </w:tc>
      </w:tr>
      <w:tr w:rsidR="002B675D" w:rsidRPr="0099632B" w14:paraId="0DBFBE1D" w14:textId="77777777" w:rsidTr="00790FF5">
        <w:trPr>
          <w:trHeight w:val="657"/>
        </w:trPr>
        <w:tc>
          <w:tcPr>
            <w:tcW w:w="2689" w:type="dxa"/>
            <w:shd w:val="clear" w:color="auto" w:fill="E7E6E6" w:themeFill="background2"/>
          </w:tcPr>
          <w:p w14:paraId="162AD52F" w14:textId="6EB4B477" w:rsidR="002B675D" w:rsidRPr="0099632B" w:rsidRDefault="002B675D" w:rsidP="002B675D">
            <w:pPr>
              <w:rPr>
                <w:rFonts w:ascii="Arial" w:hAnsi="Arial" w:cs="Arial"/>
              </w:rPr>
            </w:pPr>
            <w:r w:rsidRPr="0099632B">
              <w:rPr>
                <w:rFonts w:ascii="Arial" w:hAnsi="Arial" w:cs="Arial"/>
              </w:rPr>
              <w:t>Mining</w:t>
            </w:r>
          </w:p>
        </w:tc>
        <w:tc>
          <w:tcPr>
            <w:tcW w:w="3543" w:type="dxa"/>
          </w:tcPr>
          <w:p w14:paraId="04413A9A" w14:textId="7B0A14B5" w:rsidR="002B675D" w:rsidRPr="0099632B" w:rsidRDefault="002B675D" w:rsidP="002B675D">
            <w:pPr>
              <w:rPr>
                <w:rFonts w:ascii="Arial" w:hAnsi="Arial" w:cs="Arial"/>
              </w:rPr>
            </w:pPr>
            <w:r w:rsidRPr="0099632B">
              <w:rPr>
                <w:rFonts w:ascii="Arial" w:hAnsi="Arial" w:cs="Arial"/>
              </w:rPr>
              <w:t>No change compared to 2022-23 financial year</w:t>
            </w:r>
          </w:p>
        </w:tc>
        <w:tc>
          <w:tcPr>
            <w:tcW w:w="3544" w:type="dxa"/>
          </w:tcPr>
          <w:p w14:paraId="5571E735" w14:textId="73E95983" w:rsidR="002B675D" w:rsidRPr="0099632B" w:rsidRDefault="002B675D" w:rsidP="002B675D">
            <w:pPr>
              <w:rPr>
                <w:rFonts w:ascii="Arial" w:hAnsi="Arial" w:cs="Arial"/>
              </w:rPr>
            </w:pPr>
            <w:r w:rsidRPr="0099632B">
              <w:rPr>
                <w:rFonts w:ascii="Arial" w:hAnsi="Arial" w:cs="Arial"/>
              </w:rPr>
              <w:t xml:space="preserve">No change compared to 2018-19 financial year </w:t>
            </w:r>
          </w:p>
        </w:tc>
      </w:tr>
      <w:tr w:rsidR="002B675D" w:rsidRPr="0099632B" w14:paraId="5055A4C6" w14:textId="77777777" w:rsidTr="00790FF5">
        <w:trPr>
          <w:trHeight w:val="657"/>
        </w:trPr>
        <w:tc>
          <w:tcPr>
            <w:tcW w:w="2689" w:type="dxa"/>
            <w:shd w:val="clear" w:color="auto" w:fill="E7E6E6" w:themeFill="background2"/>
          </w:tcPr>
          <w:p w14:paraId="0FED1A8E" w14:textId="293B6E81" w:rsidR="002B675D" w:rsidRPr="0099632B" w:rsidRDefault="002B675D" w:rsidP="002B675D">
            <w:pPr>
              <w:rPr>
                <w:rFonts w:ascii="Arial" w:hAnsi="Arial" w:cs="Arial"/>
              </w:rPr>
            </w:pPr>
            <w:r w:rsidRPr="0099632B">
              <w:rPr>
                <w:rFonts w:ascii="Arial" w:hAnsi="Arial" w:cs="Arial"/>
              </w:rPr>
              <w:lastRenderedPageBreak/>
              <w:t xml:space="preserve">Tourism – Direct </w:t>
            </w:r>
          </w:p>
        </w:tc>
        <w:tc>
          <w:tcPr>
            <w:tcW w:w="3543" w:type="dxa"/>
          </w:tcPr>
          <w:p w14:paraId="16208005" w14:textId="51FBB743" w:rsidR="002B675D" w:rsidRPr="0099632B" w:rsidRDefault="002B675D" w:rsidP="002B675D">
            <w:pPr>
              <w:rPr>
                <w:rFonts w:ascii="Arial" w:hAnsi="Arial" w:cs="Arial"/>
              </w:rPr>
            </w:pPr>
            <w:r w:rsidRPr="0099632B">
              <w:rPr>
                <w:rFonts w:ascii="Arial" w:hAnsi="Arial" w:cs="Arial"/>
              </w:rPr>
              <w:t xml:space="preserve">Increased </w:t>
            </w:r>
            <w:r w:rsidR="00BA3AB1" w:rsidRPr="0099632B">
              <w:rPr>
                <w:rFonts w:ascii="Arial" w:hAnsi="Arial" w:cs="Arial"/>
              </w:rPr>
              <w:t>0</w:t>
            </w:r>
            <w:r w:rsidRPr="0099632B">
              <w:rPr>
                <w:rFonts w:ascii="Arial" w:hAnsi="Arial" w:cs="Arial"/>
              </w:rPr>
              <w:t>.2% points compared to 2022-23 financial year</w:t>
            </w:r>
          </w:p>
        </w:tc>
        <w:tc>
          <w:tcPr>
            <w:tcW w:w="3544" w:type="dxa"/>
          </w:tcPr>
          <w:p w14:paraId="77DC0FC3" w14:textId="164F17F7" w:rsidR="002B675D" w:rsidRPr="0099632B" w:rsidRDefault="002B675D" w:rsidP="002B675D">
            <w:pPr>
              <w:rPr>
                <w:rFonts w:ascii="Arial" w:hAnsi="Arial" w:cs="Arial"/>
              </w:rPr>
            </w:pPr>
            <w:r w:rsidRPr="0099632B">
              <w:rPr>
                <w:rFonts w:ascii="Arial" w:hAnsi="Arial" w:cs="Arial"/>
              </w:rPr>
              <w:t xml:space="preserve">Decreased </w:t>
            </w:r>
            <w:r w:rsidR="00BA3AB1" w:rsidRPr="0099632B">
              <w:rPr>
                <w:rFonts w:ascii="Arial" w:hAnsi="Arial" w:cs="Arial"/>
              </w:rPr>
              <w:t>0.4</w:t>
            </w:r>
            <w:r w:rsidRPr="0099632B">
              <w:rPr>
                <w:rFonts w:ascii="Arial" w:hAnsi="Arial" w:cs="Arial"/>
              </w:rPr>
              <w:t xml:space="preserve">% points compared to 2018-19 financial year </w:t>
            </w:r>
          </w:p>
        </w:tc>
      </w:tr>
      <w:tr w:rsidR="002B675D" w:rsidRPr="00B82E1F" w14:paraId="410541E8" w14:textId="77777777" w:rsidTr="00790FF5">
        <w:trPr>
          <w:trHeight w:val="657"/>
        </w:trPr>
        <w:tc>
          <w:tcPr>
            <w:tcW w:w="2689" w:type="dxa"/>
            <w:shd w:val="clear" w:color="auto" w:fill="E7E6E6" w:themeFill="background2"/>
          </w:tcPr>
          <w:p w14:paraId="009F205E" w14:textId="0CB75425" w:rsidR="002B675D" w:rsidRPr="0099632B" w:rsidRDefault="002B675D" w:rsidP="002B675D">
            <w:pPr>
              <w:rPr>
                <w:rFonts w:ascii="Arial" w:hAnsi="Arial" w:cs="Arial"/>
                <w:b/>
                <w:bCs/>
              </w:rPr>
            </w:pPr>
            <w:r w:rsidRPr="0099632B">
              <w:rPr>
                <w:rFonts w:ascii="Arial" w:hAnsi="Arial" w:cs="Arial"/>
                <w:b/>
                <w:bCs/>
              </w:rPr>
              <w:t>Tourism – Total (direct and indirect)</w:t>
            </w:r>
          </w:p>
        </w:tc>
        <w:tc>
          <w:tcPr>
            <w:tcW w:w="3543" w:type="dxa"/>
          </w:tcPr>
          <w:p w14:paraId="73A960DB" w14:textId="015CD8E9" w:rsidR="002B675D" w:rsidRPr="0099632B" w:rsidRDefault="002B675D" w:rsidP="002B675D">
            <w:pPr>
              <w:rPr>
                <w:rFonts w:ascii="Arial" w:hAnsi="Arial" w:cs="Arial"/>
                <w:b/>
                <w:bCs/>
              </w:rPr>
            </w:pPr>
            <w:r w:rsidRPr="0099632B">
              <w:rPr>
                <w:rFonts w:ascii="Arial" w:hAnsi="Arial" w:cs="Arial"/>
                <w:b/>
                <w:bCs/>
              </w:rPr>
              <w:t xml:space="preserve">Increased </w:t>
            </w:r>
            <w:r w:rsidR="00BA3AB1" w:rsidRPr="0099632B">
              <w:rPr>
                <w:rFonts w:ascii="Arial" w:hAnsi="Arial" w:cs="Arial"/>
                <w:b/>
                <w:bCs/>
              </w:rPr>
              <w:t>0.4</w:t>
            </w:r>
            <w:r w:rsidRPr="0099632B">
              <w:rPr>
                <w:rFonts w:ascii="Arial" w:hAnsi="Arial" w:cs="Arial"/>
                <w:b/>
                <w:bCs/>
              </w:rPr>
              <w:t>% points compared to 2022-23 financial year</w:t>
            </w:r>
          </w:p>
        </w:tc>
        <w:tc>
          <w:tcPr>
            <w:tcW w:w="3544" w:type="dxa"/>
          </w:tcPr>
          <w:p w14:paraId="43F59FEE" w14:textId="496D40AA" w:rsidR="002B675D" w:rsidRPr="0099632B" w:rsidRDefault="002B675D" w:rsidP="002B675D">
            <w:pPr>
              <w:rPr>
                <w:rFonts w:ascii="Arial" w:hAnsi="Arial" w:cs="Arial"/>
                <w:b/>
                <w:bCs/>
              </w:rPr>
            </w:pPr>
            <w:r w:rsidRPr="0099632B">
              <w:rPr>
                <w:rFonts w:ascii="Arial" w:hAnsi="Arial" w:cs="Arial"/>
                <w:b/>
                <w:bCs/>
              </w:rPr>
              <w:t xml:space="preserve">Decreased </w:t>
            </w:r>
            <w:r w:rsidR="00BA3AB1" w:rsidRPr="0099632B">
              <w:rPr>
                <w:rFonts w:ascii="Arial" w:hAnsi="Arial" w:cs="Arial"/>
                <w:b/>
                <w:bCs/>
              </w:rPr>
              <w:t>0.4</w:t>
            </w:r>
            <w:r w:rsidRPr="0099632B">
              <w:rPr>
                <w:rFonts w:ascii="Arial" w:hAnsi="Arial" w:cs="Arial"/>
                <w:b/>
                <w:bCs/>
              </w:rPr>
              <w:t xml:space="preserve">% points compared to 2018-19 financial year </w:t>
            </w:r>
          </w:p>
        </w:tc>
      </w:tr>
    </w:tbl>
    <w:p w14:paraId="4BA2C556" w14:textId="77777777" w:rsidR="002E42C5" w:rsidRPr="00B82E1F" w:rsidRDefault="002E42C5" w:rsidP="002E42C5">
      <w:pPr>
        <w:pStyle w:val="NoSpacing"/>
        <w:rPr>
          <w:rFonts w:ascii="Arial" w:eastAsiaTheme="minorHAnsi" w:hAnsi="Arial" w:cs="Arial"/>
        </w:rPr>
      </w:pPr>
    </w:p>
    <w:p w14:paraId="40DAB7F3" w14:textId="68AEA989" w:rsidR="00C3537E" w:rsidRPr="00B82E1F" w:rsidRDefault="00C43065" w:rsidP="00313271">
      <w:pPr>
        <w:pStyle w:val="Heading2"/>
        <w:spacing w:before="240" w:after="120"/>
        <w:rPr>
          <w:rFonts w:ascii="Arial" w:eastAsiaTheme="minorHAnsi" w:hAnsi="Arial" w:cs="Arial"/>
          <w:color w:val="002060"/>
        </w:rPr>
      </w:pPr>
      <w:bookmarkStart w:id="79" w:name="_Toc194938483"/>
      <w:r w:rsidRPr="00B82E1F">
        <w:rPr>
          <w:rFonts w:ascii="Arial" w:eastAsiaTheme="minorHAnsi" w:hAnsi="Arial" w:cs="Arial"/>
          <w:color w:val="002060"/>
        </w:rPr>
        <w:t xml:space="preserve">9.6 </w:t>
      </w:r>
      <w:r w:rsidR="00C3537E" w:rsidRPr="00B82E1F">
        <w:rPr>
          <w:rFonts w:ascii="Arial" w:eastAsiaTheme="minorHAnsi" w:hAnsi="Arial" w:cs="Arial"/>
          <w:color w:val="002060"/>
        </w:rPr>
        <w:t>Full time and part time jobs</w:t>
      </w:r>
      <w:bookmarkEnd w:id="79"/>
    </w:p>
    <w:p w14:paraId="25DA6C4F" w14:textId="2F95B86E" w:rsidR="00B01BC6" w:rsidRPr="0099632B" w:rsidRDefault="00C43065" w:rsidP="00313271">
      <w:pPr>
        <w:pStyle w:val="Heading3"/>
        <w:spacing w:before="240" w:after="120"/>
        <w:rPr>
          <w:rFonts w:ascii="Arial" w:eastAsiaTheme="minorHAnsi" w:hAnsi="Arial" w:cs="Arial"/>
          <w:color w:val="002060"/>
        </w:rPr>
      </w:pPr>
      <w:r w:rsidRPr="00B82E1F">
        <w:rPr>
          <w:rFonts w:ascii="Arial" w:eastAsiaTheme="minorHAnsi" w:hAnsi="Arial" w:cs="Arial"/>
          <w:color w:val="002060"/>
        </w:rPr>
        <w:t xml:space="preserve">9.6.1 </w:t>
      </w:r>
      <w:r w:rsidR="00B01BC6" w:rsidRPr="0099632B">
        <w:rPr>
          <w:rFonts w:ascii="Arial" w:eastAsiaTheme="minorHAnsi" w:hAnsi="Arial" w:cs="Arial"/>
          <w:color w:val="002060"/>
        </w:rPr>
        <w:t xml:space="preserve">Direct tourism filled jobs </w:t>
      </w:r>
      <w:r w:rsidR="00E10D19" w:rsidRPr="0099632B">
        <w:rPr>
          <w:rFonts w:ascii="Arial" w:eastAsiaTheme="minorHAnsi" w:hAnsi="Arial" w:cs="Arial"/>
          <w:color w:val="002060"/>
        </w:rPr>
        <w:t xml:space="preserve">in Victoria in </w:t>
      </w:r>
      <w:r w:rsidR="00087CA3" w:rsidRPr="0099632B">
        <w:rPr>
          <w:rFonts w:ascii="Arial" w:eastAsiaTheme="minorHAnsi" w:hAnsi="Arial" w:cs="Arial"/>
          <w:color w:val="002060"/>
        </w:rPr>
        <w:t>2023-24</w:t>
      </w:r>
      <w:r w:rsidR="00AB17CA" w:rsidRPr="0099632B">
        <w:rPr>
          <w:rFonts w:ascii="Arial" w:eastAsiaTheme="minorHAnsi" w:hAnsi="Arial" w:cs="Arial"/>
          <w:color w:val="002060"/>
        </w:rPr>
        <w:t xml:space="preserve"> </w:t>
      </w:r>
      <w:r w:rsidR="00B01BC6" w:rsidRPr="0099632B">
        <w:rPr>
          <w:rFonts w:ascii="Arial" w:eastAsiaTheme="minorHAnsi" w:hAnsi="Arial" w:cs="Arial"/>
          <w:color w:val="002060"/>
        </w:rPr>
        <w:t>split by full-time vs part-time jobs by industry</w:t>
      </w:r>
      <w:r w:rsidR="00313271" w:rsidRPr="0099632B">
        <w:rPr>
          <w:rFonts w:ascii="Arial" w:eastAsiaTheme="minorHAnsi" w:hAnsi="Arial" w:cs="Arial"/>
          <w:color w:val="002060"/>
        </w:rPr>
        <w:t>.</w:t>
      </w:r>
      <w:r w:rsidR="00B01BC6" w:rsidRPr="0099632B">
        <w:rPr>
          <w:rFonts w:ascii="Arial" w:eastAsiaTheme="minorHAnsi" w:hAnsi="Arial" w:cs="Arial"/>
          <w:color w:val="002060"/>
        </w:rPr>
        <w:t xml:space="preserve"> </w:t>
      </w:r>
    </w:p>
    <w:tbl>
      <w:tblPr>
        <w:tblStyle w:val="TableGrid"/>
        <w:tblW w:w="0" w:type="auto"/>
        <w:tblLook w:val="04A0" w:firstRow="1" w:lastRow="0" w:firstColumn="1" w:lastColumn="0" w:noHBand="0" w:noVBand="1"/>
      </w:tblPr>
      <w:tblGrid>
        <w:gridCol w:w="3681"/>
        <w:gridCol w:w="1134"/>
        <w:gridCol w:w="1134"/>
        <w:gridCol w:w="1134"/>
        <w:gridCol w:w="1134"/>
        <w:gridCol w:w="1276"/>
      </w:tblGrid>
      <w:tr w:rsidR="00B01BC6" w:rsidRPr="0099632B" w14:paraId="3EC6FC51" w14:textId="77777777" w:rsidTr="000710FB">
        <w:trPr>
          <w:tblHeader/>
        </w:trPr>
        <w:tc>
          <w:tcPr>
            <w:tcW w:w="3681" w:type="dxa"/>
            <w:shd w:val="clear" w:color="auto" w:fill="D9D9D9" w:themeFill="background1" w:themeFillShade="D9"/>
          </w:tcPr>
          <w:p w14:paraId="4779E9EA" w14:textId="77777777" w:rsidR="00B01BC6" w:rsidRPr="0099632B" w:rsidRDefault="00B01BC6" w:rsidP="004A110B">
            <w:pPr>
              <w:rPr>
                <w:rFonts w:ascii="Arial" w:hAnsi="Arial" w:cs="Arial"/>
                <w:b/>
                <w:bCs/>
              </w:rPr>
            </w:pPr>
            <w:bookmarkStart w:id="80" w:name="Title_33" w:colFirst="0" w:colLast="0"/>
            <w:r w:rsidRPr="0099632B">
              <w:rPr>
                <w:rFonts w:ascii="Arial" w:hAnsi="Arial" w:cs="Arial"/>
                <w:b/>
                <w:bCs/>
              </w:rPr>
              <w:t>Industry</w:t>
            </w:r>
          </w:p>
        </w:tc>
        <w:tc>
          <w:tcPr>
            <w:tcW w:w="1134" w:type="dxa"/>
            <w:shd w:val="clear" w:color="auto" w:fill="D9D9D9" w:themeFill="background1" w:themeFillShade="D9"/>
          </w:tcPr>
          <w:p w14:paraId="2B0FA055" w14:textId="77777777" w:rsidR="00B01BC6" w:rsidRPr="0099632B" w:rsidRDefault="00B01BC6" w:rsidP="004A110B">
            <w:pPr>
              <w:rPr>
                <w:rFonts w:ascii="Arial" w:hAnsi="Arial" w:cs="Arial"/>
                <w:b/>
                <w:bCs/>
              </w:rPr>
            </w:pPr>
            <w:r w:rsidRPr="0099632B">
              <w:rPr>
                <w:rFonts w:ascii="Arial" w:hAnsi="Arial" w:cs="Arial"/>
                <w:b/>
                <w:bCs/>
              </w:rPr>
              <w:t>Full-time</w:t>
            </w:r>
          </w:p>
        </w:tc>
        <w:tc>
          <w:tcPr>
            <w:tcW w:w="1134" w:type="dxa"/>
            <w:shd w:val="clear" w:color="auto" w:fill="D9D9D9" w:themeFill="background1" w:themeFillShade="D9"/>
          </w:tcPr>
          <w:p w14:paraId="1186AD0E" w14:textId="77777777" w:rsidR="00B01BC6" w:rsidRPr="0099632B" w:rsidRDefault="00B01BC6" w:rsidP="004A110B">
            <w:pPr>
              <w:rPr>
                <w:rFonts w:ascii="Arial" w:hAnsi="Arial" w:cs="Arial"/>
                <w:b/>
                <w:bCs/>
              </w:rPr>
            </w:pPr>
            <w:r w:rsidRPr="0099632B">
              <w:rPr>
                <w:rFonts w:ascii="Arial" w:hAnsi="Arial" w:cs="Arial"/>
                <w:b/>
                <w:bCs/>
              </w:rPr>
              <w:t>Part-time</w:t>
            </w:r>
          </w:p>
        </w:tc>
        <w:tc>
          <w:tcPr>
            <w:tcW w:w="1134" w:type="dxa"/>
            <w:shd w:val="clear" w:color="auto" w:fill="D9D9D9" w:themeFill="background1" w:themeFillShade="D9"/>
          </w:tcPr>
          <w:p w14:paraId="76A9B332" w14:textId="77777777" w:rsidR="00B01BC6" w:rsidRPr="0099632B" w:rsidRDefault="00B01BC6" w:rsidP="004A110B">
            <w:pPr>
              <w:rPr>
                <w:rFonts w:ascii="Arial" w:hAnsi="Arial" w:cs="Arial"/>
                <w:b/>
                <w:bCs/>
              </w:rPr>
            </w:pPr>
            <w:r w:rsidRPr="0099632B">
              <w:rPr>
                <w:rFonts w:ascii="Arial" w:hAnsi="Arial" w:cs="Arial"/>
                <w:b/>
                <w:bCs/>
              </w:rPr>
              <w:t>Total</w:t>
            </w:r>
          </w:p>
        </w:tc>
        <w:tc>
          <w:tcPr>
            <w:tcW w:w="1134" w:type="dxa"/>
            <w:shd w:val="clear" w:color="auto" w:fill="D9D9D9" w:themeFill="background1" w:themeFillShade="D9"/>
          </w:tcPr>
          <w:p w14:paraId="674C7F72" w14:textId="77777777" w:rsidR="00B01BC6" w:rsidRPr="0099632B" w:rsidRDefault="00B01BC6" w:rsidP="004A110B">
            <w:pPr>
              <w:rPr>
                <w:rFonts w:ascii="Arial" w:hAnsi="Arial" w:cs="Arial"/>
                <w:b/>
                <w:bCs/>
              </w:rPr>
            </w:pPr>
            <w:r w:rsidRPr="0099632B">
              <w:rPr>
                <w:rFonts w:ascii="Arial" w:hAnsi="Arial" w:cs="Arial"/>
                <w:b/>
                <w:bCs/>
              </w:rPr>
              <w:t>Share full time (%)</w:t>
            </w:r>
          </w:p>
        </w:tc>
        <w:tc>
          <w:tcPr>
            <w:tcW w:w="1276" w:type="dxa"/>
            <w:shd w:val="clear" w:color="auto" w:fill="D9D9D9" w:themeFill="background1" w:themeFillShade="D9"/>
          </w:tcPr>
          <w:p w14:paraId="7CC22309" w14:textId="77777777" w:rsidR="00B01BC6" w:rsidRPr="0099632B" w:rsidRDefault="00B01BC6" w:rsidP="004A110B">
            <w:pPr>
              <w:rPr>
                <w:rFonts w:ascii="Arial" w:hAnsi="Arial" w:cs="Arial"/>
                <w:b/>
                <w:bCs/>
              </w:rPr>
            </w:pPr>
            <w:r w:rsidRPr="0099632B">
              <w:rPr>
                <w:rFonts w:ascii="Arial" w:hAnsi="Arial" w:cs="Arial"/>
                <w:b/>
                <w:bCs/>
              </w:rPr>
              <w:t>Share part-time (%)</w:t>
            </w:r>
          </w:p>
        </w:tc>
      </w:tr>
      <w:bookmarkEnd w:id="80"/>
      <w:tr w:rsidR="00DF0D2E" w:rsidRPr="0099632B" w14:paraId="2FCC5911" w14:textId="77777777" w:rsidTr="006E4E7C">
        <w:tc>
          <w:tcPr>
            <w:tcW w:w="3681" w:type="dxa"/>
            <w:shd w:val="clear" w:color="auto" w:fill="D9D9D9" w:themeFill="background1" w:themeFillShade="D9"/>
          </w:tcPr>
          <w:p w14:paraId="72CA8691" w14:textId="5439125D" w:rsidR="00DF0D2E" w:rsidRPr="0099632B" w:rsidRDefault="00DF0D2E" w:rsidP="00DF0D2E">
            <w:pPr>
              <w:rPr>
                <w:rFonts w:ascii="Arial" w:hAnsi="Arial" w:cs="Arial"/>
              </w:rPr>
            </w:pPr>
            <w:r w:rsidRPr="0099632B">
              <w:rPr>
                <w:rFonts w:ascii="Arial" w:hAnsi="Arial" w:cs="Arial"/>
              </w:rPr>
              <w:t xml:space="preserve">Cafes, restaurants and takeaway food services </w:t>
            </w:r>
          </w:p>
        </w:tc>
        <w:tc>
          <w:tcPr>
            <w:tcW w:w="1134" w:type="dxa"/>
          </w:tcPr>
          <w:p w14:paraId="5E994C07" w14:textId="2562C09F" w:rsidR="00DF0D2E" w:rsidRPr="0099632B" w:rsidRDefault="00DF0D2E" w:rsidP="00DF0D2E">
            <w:pPr>
              <w:rPr>
                <w:rFonts w:ascii="Arial" w:hAnsi="Arial" w:cs="Arial"/>
              </w:rPr>
            </w:pPr>
            <w:r w:rsidRPr="0099632B">
              <w:rPr>
                <w:rFonts w:ascii="Arial" w:hAnsi="Arial" w:cs="Arial"/>
              </w:rPr>
              <w:t xml:space="preserve"> 24,000 </w:t>
            </w:r>
          </w:p>
        </w:tc>
        <w:tc>
          <w:tcPr>
            <w:tcW w:w="1134" w:type="dxa"/>
          </w:tcPr>
          <w:p w14:paraId="3A06A35A" w14:textId="259BBEAA" w:rsidR="00DF0D2E" w:rsidRPr="0099632B" w:rsidRDefault="00DF0D2E" w:rsidP="00DF0D2E">
            <w:pPr>
              <w:rPr>
                <w:rFonts w:ascii="Arial" w:hAnsi="Arial" w:cs="Arial"/>
              </w:rPr>
            </w:pPr>
            <w:r w:rsidRPr="0099632B">
              <w:rPr>
                <w:rFonts w:ascii="Arial" w:hAnsi="Arial" w:cs="Arial"/>
              </w:rPr>
              <w:t xml:space="preserve"> 40,300 </w:t>
            </w:r>
          </w:p>
        </w:tc>
        <w:tc>
          <w:tcPr>
            <w:tcW w:w="1134" w:type="dxa"/>
          </w:tcPr>
          <w:p w14:paraId="2BB5825F" w14:textId="38242298" w:rsidR="00DF0D2E" w:rsidRPr="0099632B" w:rsidRDefault="00DF0D2E" w:rsidP="00DF0D2E">
            <w:pPr>
              <w:rPr>
                <w:rFonts w:ascii="Arial" w:hAnsi="Arial" w:cs="Arial"/>
              </w:rPr>
            </w:pPr>
            <w:r w:rsidRPr="0099632B">
              <w:rPr>
                <w:rFonts w:ascii="Arial" w:hAnsi="Arial" w:cs="Arial"/>
              </w:rPr>
              <w:t xml:space="preserve"> 64,300 </w:t>
            </w:r>
          </w:p>
        </w:tc>
        <w:tc>
          <w:tcPr>
            <w:tcW w:w="1134" w:type="dxa"/>
          </w:tcPr>
          <w:p w14:paraId="6D5745B5" w14:textId="59B742EA" w:rsidR="00DF0D2E" w:rsidRPr="0099632B" w:rsidRDefault="00DF0D2E" w:rsidP="00DF0D2E">
            <w:pPr>
              <w:rPr>
                <w:rFonts w:ascii="Arial" w:hAnsi="Arial" w:cs="Arial"/>
              </w:rPr>
            </w:pPr>
            <w:r w:rsidRPr="0099632B">
              <w:rPr>
                <w:rFonts w:ascii="Arial" w:hAnsi="Arial" w:cs="Arial"/>
              </w:rPr>
              <w:t>26.2%</w:t>
            </w:r>
          </w:p>
        </w:tc>
        <w:tc>
          <w:tcPr>
            <w:tcW w:w="1276" w:type="dxa"/>
          </w:tcPr>
          <w:p w14:paraId="481A30BB" w14:textId="11F9D580" w:rsidR="00DF0D2E" w:rsidRPr="0099632B" w:rsidRDefault="00DF0D2E" w:rsidP="00DF0D2E">
            <w:pPr>
              <w:rPr>
                <w:rFonts w:ascii="Arial" w:hAnsi="Arial" w:cs="Arial"/>
              </w:rPr>
            </w:pPr>
            <w:r w:rsidRPr="0099632B">
              <w:rPr>
                <w:rFonts w:ascii="Arial" w:hAnsi="Arial" w:cs="Arial"/>
              </w:rPr>
              <w:t>43.7%</w:t>
            </w:r>
          </w:p>
        </w:tc>
      </w:tr>
      <w:tr w:rsidR="00DF0D2E" w:rsidRPr="0099632B" w14:paraId="5F3D92AB" w14:textId="77777777" w:rsidTr="006E4E7C">
        <w:tc>
          <w:tcPr>
            <w:tcW w:w="3681" w:type="dxa"/>
            <w:shd w:val="clear" w:color="auto" w:fill="D9D9D9" w:themeFill="background1" w:themeFillShade="D9"/>
          </w:tcPr>
          <w:p w14:paraId="4D81A091" w14:textId="1F44CD7F" w:rsidR="00DF0D2E" w:rsidRPr="0099632B" w:rsidRDefault="00DF0D2E" w:rsidP="00DF0D2E">
            <w:pPr>
              <w:rPr>
                <w:rFonts w:ascii="Arial" w:hAnsi="Arial" w:cs="Arial"/>
              </w:rPr>
            </w:pPr>
            <w:r w:rsidRPr="0099632B">
              <w:rPr>
                <w:rFonts w:ascii="Arial" w:hAnsi="Arial" w:cs="Arial"/>
              </w:rPr>
              <w:t xml:space="preserve">Accommodation </w:t>
            </w:r>
          </w:p>
        </w:tc>
        <w:tc>
          <w:tcPr>
            <w:tcW w:w="1134" w:type="dxa"/>
          </w:tcPr>
          <w:p w14:paraId="00F9A7C8" w14:textId="29BE80F1" w:rsidR="00DF0D2E" w:rsidRPr="0099632B" w:rsidRDefault="00DF0D2E" w:rsidP="00DF0D2E">
            <w:pPr>
              <w:rPr>
                <w:rFonts w:ascii="Arial" w:hAnsi="Arial" w:cs="Arial"/>
              </w:rPr>
            </w:pPr>
            <w:r w:rsidRPr="0099632B">
              <w:rPr>
                <w:rFonts w:ascii="Arial" w:hAnsi="Arial" w:cs="Arial"/>
              </w:rPr>
              <w:t xml:space="preserve"> 16,700 </w:t>
            </w:r>
          </w:p>
        </w:tc>
        <w:tc>
          <w:tcPr>
            <w:tcW w:w="1134" w:type="dxa"/>
          </w:tcPr>
          <w:p w14:paraId="04A6539D" w14:textId="58035609" w:rsidR="00DF0D2E" w:rsidRPr="0099632B" w:rsidRDefault="00DF0D2E" w:rsidP="00DF0D2E">
            <w:pPr>
              <w:rPr>
                <w:rFonts w:ascii="Arial" w:hAnsi="Arial" w:cs="Arial"/>
              </w:rPr>
            </w:pPr>
            <w:r w:rsidRPr="0099632B">
              <w:rPr>
                <w:rFonts w:ascii="Arial" w:hAnsi="Arial" w:cs="Arial"/>
              </w:rPr>
              <w:t xml:space="preserve"> 12,900 </w:t>
            </w:r>
          </w:p>
        </w:tc>
        <w:tc>
          <w:tcPr>
            <w:tcW w:w="1134" w:type="dxa"/>
          </w:tcPr>
          <w:p w14:paraId="7BE26B19" w14:textId="5A07BC1C" w:rsidR="00DF0D2E" w:rsidRPr="0099632B" w:rsidRDefault="00DF0D2E" w:rsidP="00DF0D2E">
            <w:pPr>
              <w:rPr>
                <w:rFonts w:ascii="Arial" w:hAnsi="Arial" w:cs="Arial"/>
              </w:rPr>
            </w:pPr>
            <w:r w:rsidRPr="0099632B">
              <w:rPr>
                <w:rFonts w:ascii="Arial" w:hAnsi="Arial" w:cs="Arial"/>
              </w:rPr>
              <w:t xml:space="preserve"> 29,600 </w:t>
            </w:r>
          </w:p>
        </w:tc>
        <w:tc>
          <w:tcPr>
            <w:tcW w:w="1134" w:type="dxa"/>
          </w:tcPr>
          <w:p w14:paraId="3833AB35" w14:textId="2C459A9B" w:rsidR="00DF0D2E" w:rsidRPr="0099632B" w:rsidRDefault="00DF0D2E" w:rsidP="00DF0D2E">
            <w:pPr>
              <w:rPr>
                <w:rFonts w:ascii="Arial" w:hAnsi="Arial" w:cs="Arial"/>
              </w:rPr>
            </w:pPr>
            <w:r w:rsidRPr="0099632B">
              <w:rPr>
                <w:rFonts w:ascii="Arial" w:hAnsi="Arial" w:cs="Arial"/>
              </w:rPr>
              <w:t>18.2%</w:t>
            </w:r>
          </w:p>
        </w:tc>
        <w:tc>
          <w:tcPr>
            <w:tcW w:w="1276" w:type="dxa"/>
          </w:tcPr>
          <w:p w14:paraId="313BD3EA" w14:textId="5A3EF6DA" w:rsidR="00DF0D2E" w:rsidRPr="0099632B" w:rsidRDefault="00DF0D2E" w:rsidP="00DF0D2E">
            <w:pPr>
              <w:rPr>
                <w:rFonts w:ascii="Arial" w:hAnsi="Arial" w:cs="Arial"/>
              </w:rPr>
            </w:pPr>
            <w:r w:rsidRPr="0099632B">
              <w:rPr>
                <w:rFonts w:ascii="Arial" w:hAnsi="Arial" w:cs="Arial"/>
              </w:rPr>
              <w:t>14.1%</w:t>
            </w:r>
          </w:p>
        </w:tc>
      </w:tr>
      <w:tr w:rsidR="00DF0D2E" w:rsidRPr="0099632B" w14:paraId="112E693C" w14:textId="77777777" w:rsidTr="006E4E7C">
        <w:tc>
          <w:tcPr>
            <w:tcW w:w="3681" w:type="dxa"/>
            <w:shd w:val="clear" w:color="auto" w:fill="D9D9D9" w:themeFill="background1" w:themeFillShade="D9"/>
          </w:tcPr>
          <w:p w14:paraId="5830A215" w14:textId="7A26B609" w:rsidR="00DF0D2E" w:rsidRPr="0099632B" w:rsidRDefault="00DF0D2E" w:rsidP="00DF0D2E">
            <w:pPr>
              <w:rPr>
                <w:rFonts w:ascii="Arial" w:hAnsi="Arial" w:cs="Arial"/>
              </w:rPr>
            </w:pPr>
            <w:r w:rsidRPr="0099632B">
              <w:rPr>
                <w:rFonts w:ascii="Arial" w:hAnsi="Arial" w:cs="Arial"/>
              </w:rPr>
              <w:t xml:space="preserve">Retail trade </w:t>
            </w:r>
          </w:p>
        </w:tc>
        <w:tc>
          <w:tcPr>
            <w:tcW w:w="1134" w:type="dxa"/>
          </w:tcPr>
          <w:p w14:paraId="5CC6D20C" w14:textId="76D3190C" w:rsidR="00DF0D2E" w:rsidRPr="0099632B" w:rsidRDefault="00DF0D2E" w:rsidP="00DF0D2E">
            <w:pPr>
              <w:rPr>
                <w:rFonts w:ascii="Arial" w:hAnsi="Arial" w:cs="Arial"/>
              </w:rPr>
            </w:pPr>
            <w:r w:rsidRPr="0099632B">
              <w:rPr>
                <w:rFonts w:ascii="Arial" w:hAnsi="Arial" w:cs="Arial"/>
              </w:rPr>
              <w:t xml:space="preserve"> 14,500 </w:t>
            </w:r>
          </w:p>
        </w:tc>
        <w:tc>
          <w:tcPr>
            <w:tcW w:w="1134" w:type="dxa"/>
          </w:tcPr>
          <w:p w14:paraId="52750F11" w14:textId="12304B91" w:rsidR="00DF0D2E" w:rsidRPr="0099632B" w:rsidRDefault="00DF0D2E" w:rsidP="00DF0D2E">
            <w:pPr>
              <w:rPr>
                <w:rFonts w:ascii="Arial" w:hAnsi="Arial" w:cs="Arial"/>
              </w:rPr>
            </w:pPr>
            <w:r w:rsidRPr="0099632B">
              <w:rPr>
                <w:rFonts w:ascii="Arial" w:hAnsi="Arial" w:cs="Arial"/>
              </w:rPr>
              <w:t xml:space="preserve"> 14,500 </w:t>
            </w:r>
          </w:p>
        </w:tc>
        <w:tc>
          <w:tcPr>
            <w:tcW w:w="1134" w:type="dxa"/>
          </w:tcPr>
          <w:p w14:paraId="6FCFF0EA" w14:textId="60D7742C" w:rsidR="00DF0D2E" w:rsidRPr="0099632B" w:rsidRDefault="00DF0D2E" w:rsidP="00DF0D2E">
            <w:pPr>
              <w:rPr>
                <w:rFonts w:ascii="Arial" w:hAnsi="Arial" w:cs="Arial"/>
              </w:rPr>
            </w:pPr>
            <w:r w:rsidRPr="0099632B">
              <w:rPr>
                <w:rFonts w:ascii="Arial" w:hAnsi="Arial" w:cs="Arial"/>
              </w:rPr>
              <w:t xml:space="preserve"> 29,000 </w:t>
            </w:r>
          </w:p>
        </w:tc>
        <w:tc>
          <w:tcPr>
            <w:tcW w:w="1134" w:type="dxa"/>
          </w:tcPr>
          <w:p w14:paraId="175A36DF" w14:textId="1D937FBF" w:rsidR="00DF0D2E" w:rsidRPr="0099632B" w:rsidRDefault="00DF0D2E" w:rsidP="00DF0D2E">
            <w:pPr>
              <w:rPr>
                <w:rFonts w:ascii="Arial" w:hAnsi="Arial" w:cs="Arial"/>
              </w:rPr>
            </w:pPr>
            <w:r w:rsidRPr="0099632B">
              <w:rPr>
                <w:rFonts w:ascii="Arial" w:hAnsi="Arial" w:cs="Arial"/>
              </w:rPr>
              <w:t>15.9%</w:t>
            </w:r>
          </w:p>
        </w:tc>
        <w:tc>
          <w:tcPr>
            <w:tcW w:w="1276" w:type="dxa"/>
          </w:tcPr>
          <w:p w14:paraId="7AF7D835" w14:textId="7ADD0638" w:rsidR="00DF0D2E" w:rsidRPr="0099632B" w:rsidRDefault="00DF0D2E" w:rsidP="00DF0D2E">
            <w:pPr>
              <w:rPr>
                <w:rFonts w:ascii="Arial" w:hAnsi="Arial" w:cs="Arial"/>
              </w:rPr>
            </w:pPr>
            <w:r w:rsidRPr="0099632B">
              <w:rPr>
                <w:rFonts w:ascii="Arial" w:hAnsi="Arial" w:cs="Arial"/>
              </w:rPr>
              <w:t>15.8%</w:t>
            </w:r>
          </w:p>
        </w:tc>
      </w:tr>
      <w:tr w:rsidR="00DF0D2E" w:rsidRPr="0099632B" w14:paraId="2B9AE83C" w14:textId="77777777" w:rsidTr="006E4E7C">
        <w:tc>
          <w:tcPr>
            <w:tcW w:w="3681" w:type="dxa"/>
            <w:shd w:val="clear" w:color="auto" w:fill="D9D9D9" w:themeFill="background1" w:themeFillShade="D9"/>
          </w:tcPr>
          <w:p w14:paraId="3C87DF90" w14:textId="568D974B" w:rsidR="00DF0D2E" w:rsidRPr="0099632B" w:rsidRDefault="00DF0D2E" w:rsidP="00DF0D2E">
            <w:pPr>
              <w:rPr>
                <w:rFonts w:ascii="Arial" w:hAnsi="Arial" w:cs="Arial"/>
              </w:rPr>
            </w:pPr>
            <w:r w:rsidRPr="0099632B">
              <w:rPr>
                <w:rFonts w:ascii="Arial" w:hAnsi="Arial" w:cs="Arial"/>
              </w:rPr>
              <w:t xml:space="preserve">Clubs, pubs, taverns and bars </w:t>
            </w:r>
          </w:p>
        </w:tc>
        <w:tc>
          <w:tcPr>
            <w:tcW w:w="1134" w:type="dxa"/>
          </w:tcPr>
          <w:p w14:paraId="43987D11" w14:textId="6763AA62" w:rsidR="00DF0D2E" w:rsidRPr="0099632B" w:rsidRDefault="00DF0D2E" w:rsidP="00DF0D2E">
            <w:pPr>
              <w:rPr>
                <w:rFonts w:ascii="Arial" w:hAnsi="Arial" w:cs="Arial"/>
              </w:rPr>
            </w:pPr>
            <w:r w:rsidRPr="0099632B">
              <w:rPr>
                <w:rFonts w:ascii="Arial" w:hAnsi="Arial" w:cs="Arial"/>
              </w:rPr>
              <w:t xml:space="preserve"> 5,500 </w:t>
            </w:r>
          </w:p>
        </w:tc>
        <w:tc>
          <w:tcPr>
            <w:tcW w:w="1134" w:type="dxa"/>
          </w:tcPr>
          <w:p w14:paraId="4C02C247" w14:textId="2A01FF7C" w:rsidR="00DF0D2E" w:rsidRPr="0099632B" w:rsidRDefault="00DF0D2E" w:rsidP="00DF0D2E">
            <w:pPr>
              <w:rPr>
                <w:rFonts w:ascii="Arial" w:hAnsi="Arial" w:cs="Arial"/>
              </w:rPr>
            </w:pPr>
            <w:r w:rsidRPr="0099632B">
              <w:rPr>
                <w:rFonts w:ascii="Arial" w:hAnsi="Arial" w:cs="Arial"/>
              </w:rPr>
              <w:t xml:space="preserve"> 7,600 </w:t>
            </w:r>
          </w:p>
        </w:tc>
        <w:tc>
          <w:tcPr>
            <w:tcW w:w="1134" w:type="dxa"/>
          </w:tcPr>
          <w:p w14:paraId="20E3F41D" w14:textId="239AB180" w:rsidR="00DF0D2E" w:rsidRPr="0099632B" w:rsidRDefault="00DF0D2E" w:rsidP="00DF0D2E">
            <w:pPr>
              <w:rPr>
                <w:rFonts w:ascii="Arial" w:hAnsi="Arial" w:cs="Arial"/>
              </w:rPr>
            </w:pPr>
            <w:r w:rsidRPr="0099632B">
              <w:rPr>
                <w:rFonts w:ascii="Arial" w:hAnsi="Arial" w:cs="Arial"/>
              </w:rPr>
              <w:t xml:space="preserve"> 13,200 </w:t>
            </w:r>
          </w:p>
        </w:tc>
        <w:tc>
          <w:tcPr>
            <w:tcW w:w="1134" w:type="dxa"/>
          </w:tcPr>
          <w:p w14:paraId="6418B99A" w14:textId="3E2131BF" w:rsidR="00DF0D2E" w:rsidRPr="0099632B" w:rsidRDefault="00DF0D2E" w:rsidP="00DF0D2E">
            <w:pPr>
              <w:rPr>
                <w:rFonts w:ascii="Arial" w:hAnsi="Arial" w:cs="Arial"/>
              </w:rPr>
            </w:pPr>
            <w:r w:rsidRPr="0099632B">
              <w:rPr>
                <w:rFonts w:ascii="Arial" w:hAnsi="Arial" w:cs="Arial"/>
              </w:rPr>
              <w:t>6.0%</w:t>
            </w:r>
          </w:p>
        </w:tc>
        <w:tc>
          <w:tcPr>
            <w:tcW w:w="1276" w:type="dxa"/>
          </w:tcPr>
          <w:p w14:paraId="23952436" w14:textId="796D0FD5" w:rsidR="00DF0D2E" w:rsidRPr="0099632B" w:rsidRDefault="00DF0D2E" w:rsidP="00DF0D2E">
            <w:pPr>
              <w:rPr>
                <w:rFonts w:ascii="Arial" w:hAnsi="Arial" w:cs="Arial"/>
              </w:rPr>
            </w:pPr>
            <w:r w:rsidRPr="0099632B">
              <w:rPr>
                <w:rFonts w:ascii="Arial" w:hAnsi="Arial" w:cs="Arial"/>
              </w:rPr>
              <w:t>8.3%</w:t>
            </w:r>
          </w:p>
        </w:tc>
      </w:tr>
      <w:tr w:rsidR="00DF0D2E" w:rsidRPr="0099632B" w14:paraId="6896225C" w14:textId="77777777" w:rsidTr="006E4E7C">
        <w:tc>
          <w:tcPr>
            <w:tcW w:w="3681" w:type="dxa"/>
            <w:shd w:val="clear" w:color="auto" w:fill="D9D9D9" w:themeFill="background1" w:themeFillShade="D9"/>
          </w:tcPr>
          <w:p w14:paraId="70CC1D9C" w14:textId="2DF21B61" w:rsidR="00DF0D2E" w:rsidRPr="0099632B" w:rsidRDefault="00DF0D2E" w:rsidP="00DF0D2E">
            <w:pPr>
              <w:rPr>
                <w:rFonts w:ascii="Arial" w:hAnsi="Arial" w:cs="Arial"/>
              </w:rPr>
            </w:pPr>
            <w:r w:rsidRPr="0099632B">
              <w:rPr>
                <w:rFonts w:ascii="Arial" w:hAnsi="Arial" w:cs="Arial"/>
              </w:rPr>
              <w:t xml:space="preserve">Education and training </w:t>
            </w:r>
          </w:p>
        </w:tc>
        <w:tc>
          <w:tcPr>
            <w:tcW w:w="1134" w:type="dxa"/>
          </w:tcPr>
          <w:p w14:paraId="6198E560" w14:textId="6D7B4EFB" w:rsidR="00DF0D2E" w:rsidRPr="0099632B" w:rsidRDefault="00DF0D2E" w:rsidP="00DF0D2E">
            <w:pPr>
              <w:rPr>
                <w:rFonts w:ascii="Arial" w:hAnsi="Arial" w:cs="Arial"/>
              </w:rPr>
            </w:pPr>
            <w:r w:rsidRPr="0099632B">
              <w:rPr>
                <w:rFonts w:ascii="Arial" w:hAnsi="Arial" w:cs="Arial"/>
              </w:rPr>
              <w:t xml:space="preserve"> 7,200 </w:t>
            </w:r>
          </w:p>
        </w:tc>
        <w:tc>
          <w:tcPr>
            <w:tcW w:w="1134" w:type="dxa"/>
          </w:tcPr>
          <w:p w14:paraId="41A48FE2" w14:textId="4821D3D6" w:rsidR="00DF0D2E" w:rsidRPr="0099632B" w:rsidRDefault="00DF0D2E" w:rsidP="00DF0D2E">
            <w:pPr>
              <w:rPr>
                <w:rFonts w:ascii="Arial" w:hAnsi="Arial" w:cs="Arial"/>
              </w:rPr>
            </w:pPr>
            <w:r w:rsidRPr="0099632B">
              <w:rPr>
                <w:rFonts w:ascii="Arial" w:hAnsi="Arial" w:cs="Arial"/>
              </w:rPr>
              <w:t xml:space="preserve"> 4,900 </w:t>
            </w:r>
          </w:p>
        </w:tc>
        <w:tc>
          <w:tcPr>
            <w:tcW w:w="1134" w:type="dxa"/>
          </w:tcPr>
          <w:p w14:paraId="61309C2E" w14:textId="05884F05" w:rsidR="00DF0D2E" w:rsidRPr="0099632B" w:rsidRDefault="00DF0D2E" w:rsidP="00DF0D2E">
            <w:pPr>
              <w:rPr>
                <w:rFonts w:ascii="Arial" w:hAnsi="Arial" w:cs="Arial"/>
              </w:rPr>
            </w:pPr>
            <w:r w:rsidRPr="0099632B">
              <w:rPr>
                <w:rFonts w:ascii="Arial" w:hAnsi="Arial" w:cs="Arial"/>
              </w:rPr>
              <w:t xml:space="preserve"> 12,100 </w:t>
            </w:r>
          </w:p>
        </w:tc>
        <w:tc>
          <w:tcPr>
            <w:tcW w:w="1134" w:type="dxa"/>
          </w:tcPr>
          <w:p w14:paraId="20E46AB4" w14:textId="32661C27" w:rsidR="00DF0D2E" w:rsidRPr="0099632B" w:rsidRDefault="00DF0D2E" w:rsidP="00DF0D2E">
            <w:pPr>
              <w:rPr>
                <w:rFonts w:ascii="Arial" w:hAnsi="Arial" w:cs="Arial"/>
              </w:rPr>
            </w:pPr>
            <w:r w:rsidRPr="0099632B">
              <w:rPr>
                <w:rFonts w:ascii="Arial" w:hAnsi="Arial" w:cs="Arial"/>
              </w:rPr>
              <w:t>7.9%</w:t>
            </w:r>
          </w:p>
        </w:tc>
        <w:tc>
          <w:tcPr>
            <w:tcW w:w="1276" w:type="dxa"/>
          </w:tcPr>
          <w:p w14:paraId="75DE34A2" w14:textId="100D650C" w:rsidR="00DF0D2E" w:rsidRPr="0099632B" w:rsidRDefault="00DF0D2E" w:rsidP="00DF0D2E">
            <w:pPr>
              <w:rPr>
                <w:rFonts w:ascii="Arial" w:hAnsi="Arial" w:cs="Arial"/>
              </w:rPr>
            </w:pPr>
            <w:r w:rsidRPr="0099632B">
              <w:rPr>
                <w:rFonts w:ascii="Arial" w:hAnsi="Arial" w:cs="Arial"/>
              </w:rPr>
              <w:t>5.3%</w:t>
            </w:r>
          </w:p>
        </w:tc>
      </w:tr>
      <w:tr w:rsidR="00DF0D2E" w:rsidRPr="0099632B" w14:paraId="02856CA3" w14:textId="77777777" w:rsidTr="006E4E7C">
        <w:tc>
          <w:tcPr>
            <w:tcW w:w="3681" w:type="dxa"/>
            <w:shd w:val="clear" w:color="auto" w:fill="D9D9D9" w:themeFill="background1" w:themeFillShade="D9"/>
          </w:tcPr>
          <w:p w14:paraId="62B118D5" w14:textId="797BE94A" w:rsidR="00DF0D2E" w:rsidRPr="0099632B" w:rsidRDefault="00DF0D2E" w:rsidP="00DF0D2E">
            <w:pPr>
              <w:rPr>
                <w:rFonts w:ascii="Arial" w:hAnsi="Arial" w:cs="Arial"/>
              </w:rPr>
            </w:pPr>
            <w:r w:rsidRPr="0099632B">
              <w:rPr>
                <w:rFonts w:ascii="Arial" w:hAnsi="Arial" w:cs="Arial"/>
              </w:rPr>
              <w:t xml:space="preserve">Other sports and recreation services </w:t>
            </w:r>
          </w:p>
        </w:tc>
        <w:tc>
          <w:tcPr>
            <w:tcW w:w="1134" w:type="dxa"/>
          </w:tcPr>
          <w:p w14:paraId="3F12956C" w14:textId="32ECCB54" w:rsidR="00DF0D2E" w:rsidRPr="0099632B" w:rsidRDefault="00DF0D2E" w:rsidP="00DF0D2E">
            <w:pPr>
              <w:rPr>
                <w:rFonts w:ascii="Arial" w:hAnsi="Arial" w:cs="Arial"/>
              </w:rPr>
            </w:pPr>
            <w:r w:rsidRPr="0099632B">
              <w:rPr>
                <w:rFonts w:ascii="Arial" w:hAnsi="Arial" w:cs="Arial"/>
              </w:rPr>
              <w:t xml:space="preserve"> 4,700 </w:t>
            </w:r>
          </w:p>
        </w:tc>
        <w:tc>
          <w:tcPr>
            <w:tcW w:w="1134" w:type="dxa"/>
          </w:tcPr>
          <w:p w14:paraId="46FB153E" w14:textId="7B8AD8C9" w:rsidR="00DF0D2E" w:rsidRPr="0099632B" w:rsidRDefault="00DF0D2E" w:rsidP="00DF0D2E">
            <w:pPr>
              <w:rPr>
                <w:rFonts w:ascii="Arial" w:hAnsi="Arial" w:cs="Arial"/>
              </w:rPr>
            </w:pPr>
            <w:r w:rsidRPr="0099632B">
              <w:rPr>
                <w:rFonts w:ascii="Arial" w:hAnsi="Arial" w:cs="Arial"/>
              </w:rPr>
              <w:t xml:space="preserve"> 4,800 </w:t>
            </w:r>
          </w:p>
        </w:tc>
        <w:tc>
          <w:tcPr>
            <w:tcW w:w="1134" w:type="dxa"/>
          </w:tcPr>
          <w:p w14:paraId="296AD087" w14:textId="4E6E54BE" w:rsidR="00DF0D2E" w:rsidRPr="0099632B" w:rsidRDefault="00DF0D2E" w:rsidP="00DF0D2E">
            <w:pPr>
              <w:rPr>
                <w:rFonts w:ascii="Arial" w:hAnsi="Arial" w:cs="Arial"/>
              </w:rPr>
            </w:pPr>
            <w:r w:rsidRPr="0099632B">
              <w:rPr>
                <w:rFonts w:ascii="Arial" w:hAnsi="Arial" w:cs="Arial"/>
              </w:rPr>
              <w:t xml:space="preserve"> 9,500 </w:t>
            </w:r>
          </w:p>
        </w:tc>
        <w:tc>
          <w:tcPr>
            <w:tcW w:w="1134" w:type="dxa"/>
          </w:tcPr>
          <w:p w14:paraId="01CE9F31" w14:textId="7265909F" w:rsidR="00DF0D2E" w:rsidRPr="0099632B" w:rsidRDefault="00DF0D2E" w:rsidP="00DF0D2E">
            <w:pPr>
              <w:rPr>
                <w:rFonts w:ascii="Arial" w:hAnsi="Arial" w:cs="Arial"/>
              </w:rPr>
            </w:pPr>
            <w:r w:rsidRPr="0099632B">
              <w:rPr>
                <w:rFonts w:ascii="Arial" w:hAnsi="Arial" w:cs="Arial"/>
              </w:rPr>
              <w:t>5.1%</w:t>
            </w:r>
          </w:p>
        </w:tc>
        <w:tc>
          <w:tcPr>
            <w:tcW w:w="1276" w:type="dxa"/>
          </w:tcPr>
          <w:p w14:paraId="6EBDCD9A" w14:textId="2C7C8645" w:rsidR="00DF0D2E" w:rsidRPr="0099632B" w:rsidRDefault="00DF0D2E" w:rsidP="00DF0D2E">
            <w:pPr>
              <w:rPr>
                <w:rFonts w:ascii="Arial" w:hAnsi="Arial" w:cs="Arial"/>
              </w:rPr>
            </w:pPr>
            <w:r w:rsidRPr="0099632B">
              <w:rPr>
                <w:rFonts w:ascii="Arial" w:hAnsi="Arial" w:cs="Arial"/>
              </w:rPr>
              <w:t>5.2%</w:t>
            </w:r>
          </w:p>
        </w:tc>
      </w:tr>
      <w:tr w:rsidR="00DF0D2E" w:rsidRPr="0099632B" w14:paraId="28EE525C" w14:textId="77777777" w:rsidTr="006E4E7C">
        <w:tc>
          <w:tcPr>
            <w:tcW w:w="3681" w:type="dxa"/>
            <w:shd w:val="clear" w:color="auto" w:fill="D9D9D9" w:themeFill="background1" w:themeFillShade="D9"/>
          </w:tcPr>
          <w:p w14:paraId="53A54B9B" w14:textId="3A080FA2" w:rsidR="00DF0D2E" w:rsidRPr="0099632B" w:rsidRDefault="00DF0D2E" w:rsidP="00DF0D2E">
            <w:pPr>
              <w:rPr>
                <w:rFonts w:ascii="Arial" w:hAnsi="Arial" w:cs="Arial"/>
              </w:rPr>
            </w:pPr>
            <w:r w:rsidRPr="0099632B">
              <w:rPr>
                <w:rFonts w:ascii="Arial" w:hAnsi="Arial" w:cs="Arial"/>
              </w:rPr>
              <w:t xml:space="preserve">Air, water and other transport </w:t>
            </w:r>
          </w:p>
        </w:tc>
        <w:tc>
          <w:tcPr>
            <w:tcW w:w="1134" w:type="dxa"/>
          </w:tcPr>
          <w:p w14:paraId="07526177" w14:textId="5A2B3935" w:rsidR="00DF0D2E" w:rsidRPr="0099632B" w:rsidRDefault="00DF0D2E" w:rsidP="00DF0D2E">
            <w:pPr>
              <w:rPr>
                <w:rFonts w:ascii="Arial" w:hAnsi="Arial" w:cs="Arial"/>
              </w:rPr>
            </w:pPr>
            <w:r w:rsidRPr="0099632B">
              <w:rPr>
                <w:rFonts w:ascii="Arial" w:hAnsi="Arial" w:cs="Arial"/>
              </w:rPr>
              <w:t xml:space="preserve"> 5,700 </w:t>
            </w:r>
          </w:p>
        </w:tc>
        <w:tc>
          <w:tcPr>
            <w:tcW w:w="1134" w:type="dxa"/>
          </w:tcPr>
          <w:p w14:paraId="7E71C8C6" w14:textId="6982FA68" w:rsidR="00DF0D2E" w:rsidRPr="0099632B" w:rsidRDefault="00DF0D2E" w:rsidP="00DF0D2E">
            <w:pPr>
              <w:rPr>
                <w:rFonts w:ascii="Arial" w:hAnsi="Arial" w:cs="Arial"/>
              </w:rPr>
            </w:pPr>
            <w:r w:rsidRPr="0099632B">
              <w:rPr>
                <w:rFonts w:ascii="Arial" w:hAnsi="Arial" w:cs="Arial"/>
              </w:rPr>
              <w:t xml:space="preserve"> 1,800 </w:t>
            </w:r>
          </w:p>
        </w:tc>
        <w:tc>
          <w:tcPr>
            <w:tcW w:w="1134" w:type="dxa"/>
          </w:tcPr>
          <w:p w14:paraId="6E305D1F" w14:textId="2B83D497" w:rsidR="00DF0D2E" w:rsidRPr="0099632B" w:rsidRDefault="00DF0D2E" w:rsidP="00DF0D2E">
            <w:pPr>
              <w:rPr>
                <w:rFonts w:ascii="Arial" w:hAnsi="Arial" w:cs="Arial"/>
              </w:rPr>
            </w:pPr>
            <w:r w:rsidRPr="0099632B">
              <w:rPr>
                <w:rFonts w:ascii="Arial" w:hAnsi="Arial" w:cs="Arial"/>
              </w:rPr>
              <w:t xml:space="preserve"> 7,500 </w:t>
            </w:r>
          </w:p>
        </w:tc>
        <w:tc>
          <w:tcPr>
            <w:tcW w:w="1134" w:type="dxa"/>
          </w:tcPr>
          <w:p w14:paraId="50715E94" w14:textId="3A835B0C" w:rsidR="00DF0D2E" w:rsidRPr="0099632B" w:rsidRDefault="00DF0D2E" w:rsidP="00DF0D2E">
            <w:pPr>
              <w:rPr>
                <w:rFonts w:ascii="Arial" w:hAnsi="Arial" w:cs="Arial"/>
              </w:rPr>
            </w:pPr>
            <w:r w:rsidRPr="0099632B">
              <w:rPr>
                <w:rFonts w:ascii="Arial" w:hAnsi="Arial" w:cs="Arial"/>
              </w:rPr>
              <w:t>6.3%</w:t>
            </w:r>
          </w:p>
        </w:tc>
        <w:tc>
          <w:tcPr>
            <w:tcW w:w="1276" w:type="dxa"/>
          </w:tcPr>
          <w:p w14:paraId="28463865" w14:textId="6DB8078C" w:rsidR="00DF0D2E" w:rsidRPr="0099632B" w:rsidRDefault="00DF0D2E" w:rsidP="00DF0D2E">
            <w:pPr>
              <w:rPr>
                <w:rFonts w:ascii="Arial" w:hAnsi="Arial" w:cs="Arial"/>
              </w:rPr>
            </w:pPr>
            <w:r w:rsidRPr="0099632B">
              <w:rPr>
                <w:rFonts w:ascii="Arial" w:hAnsi="Arial" w:cs="Arial"/>
              </w:rPr>
              <w:t>1.9%</w:t>
            </w:r>
          </w:p>
        </w:tc>
      </w:tr>
      <w:tr w:rsidR="00DF0D2E" w:rsidRPr="0099632B" w14:paraId="4E844A01" w14:textId="77777777" w:rsidTr="006E4E7C">
        <w:tc>
          <w:tcPr>
            <w:tcW w:w="3681" w:type="dxa"/>
            <w:shd w:val="clear" w:color="auto" w:fill="D9D9D9" w:themeFill="background1" w:themeFillShade="D9"/>
          </w:tcPr>
          <w:p w14:paraId="59DA5AD4" w14:textId="2FDBD2B0" w:rsidR="00DF0D2E" w:rsidRPr="0099632B" w:rsidRDefault="00DF0D2E" w:rsidP="00DF0D2E">
            <w:pPr>
              <w:rPr>
                <w:rFonts w:ascii="Arial" w:hAnsi="Arial" w:cs="Arial"/>
              </w:rPr>
            </w:pPr>
            <w:r w:rsidRPr="0099632B">
              <w:rPr>
                <w:rFonts w:ascii="Arial" w:hAnsi="Arial" w:cs="Arial"/>
              </w:rPr>
              <w:t xml:space="preserve">Travel agency and tour operator services </w:t>
            </w:r>
          </w:p>
        </w:tc>
        <w:tc>
          <w:tcPr>
            <w:tcW w:w="1134" w:type="dxa"/>
          </w:tcPr>
          <w:p w14:paraId="28DB54D4" w14:textId="679D2573" w:rsidR="00DF0D2E" w:rsidRPr="0099632B" w:rsidRDefault="00DF0D2E" w:rsidP="00DF0D2E">
            <w:pPr>
              <w:rPr>
                <w:rFonts w:ascii="Arial" w:hAnsi="Arial" w:cs="Arial"/>
              </w:rPr>
            </w:pPr>
            <w:r w:rsidRPr="0099632B">
              <w:rPr>
                <w:rFonts w:ascii="Arial" w:hAnsi="Arial" w:cs="Arial"/>
              </w:rPr>
              <w:t xml:space="preserve"> 5,300 </w:t>
            </w:r>
          </w:p>
        </w:tc>
        <w:tc>
          <w:tcPr>
            <w:tcW w:w="1134" w:type="dxa"/>
          </w:tcPr>
          <w:p w14:paraId="01520C61" w14:textId="68AFD812" w:rsidR="00DF0D2E" w:rsidRPr="0099632B" w:rsidRDefault="00DF0D2E" w:rsidP="00DF0D2E">
            <w:pPr>
              <w:rPr>
                <w:rFonts w:ascii="Arial" w:hAnsi="Arial" w:cs="Arial"/>
              </w:rPr>
            </w:pPr>
            <w:r w:rsidRPr="0099632B">
              <w:rPr>
                <w:rFonts w:ascii="Arial" w:hAnsi="Arial" w:cs="Arial"/>
              </w:rPr>
              <w:t xml:space="preserve"> 1,300 </w:t>
            </w:r>
          </w:p>
        </w:tc>
        <w:tc>
          <w:tcPr>
            <w:tcW w:w="1134" w:type="dxa"/>
          </w:tcPr>
          <w:p w14:paraId="43B1A407" w14:textId="768792D3" w:rsidR="00DF0D2E" w:rsidRPr="0099632B" w:rsidRDefault="00DF0D2E" w:rsidP="00DF0D2E">
            <w:pPr>
              <w:rPr>
                <w:rFonts w:ascii="Arial" w:hAnsi="Arial" w:cs="Arial"/>
              </w:rPr>
            </w:pPr>
            <w:r w:rsidRPr="0099632B">
              <w:rPr>
                <w:rFonts w:ascii="Arial" w:hAnsi="Arial" w:cs="Arial"/>
              </w:rPr>
              <w:t xml:space="preserve"> 6,600 </w:t>
            </w:r>
          </w:p>
        </w:tc>
        <w:tc>
          <w:tcPr>
            <w:tcW w:w="1134" w:type="dxa"/>
          </w:tcPr>
          <w:p w14:paraId="10EE82A1" w14:textId="3D438648" w:rsidR="00DF0D2E" w:rsidRPr="0099632B" w:rsidRDefault="00DF0D2E" w:rsidP="00DF0D2E">
            <w:pPr>
              <w:rPr>
                <w:rFonts w:ascii="Arial" w:hAnsi="Arial" w:cs="Arial"/>
              </w:rPr>
            </w:pPr>
            <w:r w:rsidRPr="0099632B">
              <w:rPr>
                <w:rFonts w:ascii="Arial" w:hAnsi="Arial" w:cs="Arial"/>
              </w:rPr>
              <w:t>5.8%</w:t>
            </w:r>
          </w:p>
        </w:tc>
        <w:tc>
          <w:tcPr>
            <w:tcW w:w="1276" w:type="dxa"/>
          </w:tcPr>
          <w:p w14:paraId="29161083" w14:textId="62499CAE" w:rsidR="00DF0D2E" w:rsidRPr="0099632B" w:rsidRDefault="00DF0D2E" w:rsidP="00DF0D2E">
            <w:pPr>
              <w:rPr>
                <w:rFonts w:ascii="Arial" w:hAnsi="Arial" w:cs="Arial"/>
              </w:rPr>
            </w:pPr>
            <w:r w:rsidRPr="0099632B">
              <w:rPr>
                <w:rFonts w:ascii="Arial" w:hAnsi="Arial" w:cs="Arial"/>
              </w:rPr>
              <w:t>1.4%</w:t>
            </w:r>
          </w:p>
        </w:tc>
      </w:tr>
      <w:tr w:rsidR="00DF0D2E" w:rsidRPr="0099632B" w14:paraId="60EA59C2" w14:textId="77777777" w:rsidTr="006E4E7C">
        <w:tc>
          <w:tcPr>
            <w:tcW w:w="3681" w:type="dxa"/>
            <w:shd w:val="clear" w:color="auto" w:fill="D9D9D9" w:themeFill="background1" w:themeFillShade="D9"/>
          </w:tcPr>
          <w:p w14:paraId="4417EF17" w14:textId="55432952" w:rsidR="00DF0D2E" w:rsidRPr="0099632B" w:rsidRDefault="00DF0D2E" w:rsidP="00DF0D2E">
            <w:pPr>
              <w:rPr>
                <w:rFonts w:ascii="Arial" w:hAnsi="Arial" w:cs="Arial"/>
              </w:rPr>
            </w:pPr>
            <w:r w:rsidRPr="0099632B">
              <w:rPr>
                <w:rFonts w:ascii="Arial" w:hAnsi="Arial" w:cs="Arial"/>
              </w:rPr>
              <w:t xml:space="preserve">Road transport and transport equipment rental </w:t>
            </w:r>
          </w:p>
        </w:tc>
        <w:tc>
          <w:tcPr>
            <w:tcW w:w="1134" w:type="dxa"/>
          </w:tcPr>
          <w:p w14:paraId="653C2051" w14:textId="54C66166" w:rsidR="00DF0D2E" w:rsidRPr="0099632B" w:rsidRDefault="00DF0D2E" w:rsidP="00DF0D2E">
            <w:pPr>
              <w:rPr>
                <w:rFonts w:ascii="Arial" w:hAnsi="Arial" w:cs="Arial"/>
              </w:rPr>
            </w:pPr>
            <w:r w:rsidRPr="0099632B">
              <w:rPr>
                <w:rFonts w:ascii="Arial" w:hAnsi="Arial" w:cs="Arial"/>
              </w:rPr>
              <w:t xml:space="preserve"> 3,900 </w:t>
            </w:r>
          </w:p>
        </w:tc>
        <w:tc>
          <w:tcPr>
            <w:tcW w:w="1134" w:type="dxa"/>
          </w:tcPr>
          <w:p w14:paraId="4EB0B0E5" w14:textId="4B42D4E8" w:rsidR="00DF0D2E" w:rsidRPr="0099632B" w:rsidRDefault="00DF0D2E" w:rsidP="00DF0D2E">
            <w:pPr>
              <w:rPr>
                <w:rFonts w:ascii="Arial" w:hAnsi="Arial" w:cs="Arial"/>
              </w:rPr>
            </w:pPr>
            <w:r w:rsidRPr="0099632B">
              <w:rPr>
                <w:rFonts w:ascii="Arial" w:hAnsi="Arial" w:cs="Arial"/>
              </w:rPr>
              <w:t xml:space="preserve"> 1,200 </w:t>
            </w:r>
          </w:p>
        </w:tc>
        <w:tc>
          <w:tcPr>
            <w:tcW w:w="1134" w:type="dxa"/>
          </w:tcPr>
          <w:p w14:paraId="6B7F297D" w14:textId="39421ED2" w:rsidR="00DF0D2E" w:rsidRPr="0099632B" w:rsidRDefault="00DF0D2E" w:rsidP="00DF0D2E">
            <w:pPr>
              <w:rPr>
                <w:rFonts w:ascii="Arial" w:hAnsi="Arial" w:cs="Arial"/>
              </w:rPr>
            </w:pPr>
            <w:r w:rsidRPr="0099632B">
              <w:rPr>
                <w:rFonts w:ascii="Arial" w:hAnsi="Arial" w:cs="Arial"/>
              </w:rPr>
              <w:t xml:space="preserve"> 5,200 </w:t>
            </w:r>
          </w:p>
        </w:tc>
        <w:tc>
          <w:tcPr>
            <w:tcW w:w="1134" w:type="dxa"/>
          </w:tcPr>
          <w:p w14:paraId="08679A9F" w14:textId="27FC3206" w:rsidR="00DF0D2E" w:rsidRPr="0099632B" w:rsidRDefault="00DF0D2E" w:rsidP="00DF0D2E">
            <w:pPr>
              <w:rPr>
                <w:rFonts w:ascii="Arial" w:hAnsi="Arial" w:cs="Arial"/>
              </w:rPr>
            </w:pPr>
            <w:r w:rsidRPr="0099632B">
              <w:rPr>
                <w:rFonts w:ascii="Arial" w:hAnsi="Arial" w:cs="Arial"/>
              </w:rPr>
              <w:t>4.3%</w:t>
            </w:r>
          </w:p>
        </w:tc>
        <w:tc>
          <w:tcPr>
            <w:tcW w:w="1276" w:type="dxa"/>
          </w:tcPr>
          <w:p w14:paraId="09A38322" w14:textId="5CB33C69" w:rsidR="00DF0D2E" w:rsidRPr="0099632B" w:rsidRDefault="00DF0D2E" w:rsidP="00DF0D2E">
            <w:pPr>
              <w:rPr>
                <w:rFonts w:ascii="Arial" w:hAnsi="Arial" w:cs="Arial"/>
              </w:rPr>
            </w:pPr>
            <w:r w:rsidRPr="0099632B">
              <w:rPr>
                <w:rFonts w:ascii="Arial" w:hAnsi="Arial" w:cs="Arial"/>
              </w:rPr>
              <w:t>1.4%</w:t>
            </w:r>
          </w:p>
        </w:tc>
      </w:tr>
      <w:tr w:rsidR="00DF0D2E" w:rsidRPr="0099632B" w14:paraId="0540F91B" w14:textId="77777777" w:rsidTr="006E4E7C">
        <w:tc>
          <w:tcPr>
            <w:tcW w:w="3681" w:type="dxa"/>
            <w:shd w:val="clear" w:color="auto" w:fill="D9D9D9" w:themeFill="background1" w:themeFillShade="D9"/>
          </w:tcPr>
          <w:p w14:paraId="19826057" w14:textId="4BF77FFB" w:rsidR="00DF0D2E" w:rsidRPr="0099632B" w:rsidRDefault="00DF0D2E" w:rsidP="00DF0D2E">
            <w:pPr>
              <w:rPr>
                <w:rFonts w:ascii="Arial" w:hAnsi="Arial" w:cs="Arial"/>
              </w:rPr>
            </w:pPr>
            <w:r w:rsidRPr="0099632B">
              <w:rPr>
                <w:rFonts w:ascii="Arial" w:hAnsi="Arial" w:cs="Arial"/>
              </w:rPr>
              <w:t xml:space="preserve">Cultural services </w:t>
            </w:r>
          </w:p>
        </w:tc>
        <w:tc>
          <w:tcPr>
            <w:tcW w:w="1134" w:type="dxa"/>
          </w:tcPr>
          <w:p w14:paraId="39B69C8F" w14:textId="7C9A24E4" w:rsidR="00DF0D2E" w:rsidRPr="0099632B" w:rsidRDefault="00DF0D2E" w:rsidP="00DF0D2E">
            <w:pPr>
              <w:rPr>
                <w:rFonts w:ascii="Arial" w:hAnsi="Arial" w:cs="Arial"/>
              </w:rPr>
            </w:pPr>
            <w:r w:rsidRPr="0099632B">
              <w:rPr>
                <w:rFonts w:ascii="Arial" w:hAnsi="Arial" w:cs="Arial"/>
              </w:rPr>
              <w:t xml:space="preserve"> 1,400 </w:t>
            </w:r>
          </w:p>
        </w:tc>
        <w:tc>
          <w:tcPr>
            <w:tcW w:w="1134" w:type="dxa"/>
          </w:tcPr>
          <w:p w14:paraId="2DA0E135" w14:textId="0D857B6D" w:rsidR="00DF0D2E" w:rsidRPr="0099632B" w:rsidRDefault="00DF0D2E" w:rsidP="00DF0D2E">
            <w:pPr>
              <w:rPr>
                <w:rFonts w:ascii="Arial" w:hAnsi="Arial" w:cs="Arial"/>
              </w:rPr>
            </w:pPr>
            <w:r w:rsidRPr="0099632B">
              <w:rPr>
                <w:rFonts w:ascii="Arial" w:hAnsi="Arial" w:cs="Arial"/>
              </w:rPr>
              <w:t xml:space="preserve"> 2,000 </w:t>
            </w:r>
          </w:p>
        </w:tc>
        <w:tc>
          <w:tcPr>
            <w:tcW w:w="1134" w:type="dxa"/>
          </w:tcPr>
          <w:p w14:paraId="0FEC7E21" w14:textId="3057E2AE" w:rsidR="00DF0D2E" w:rsidRPr="0099632B" w:rsidRDefault="00DF0D2E" w:rsidP="00DF0D2E">
            <w:pPr>
              <w:rPr>
                <w:rFonts w:ascii="Arial" w:hAnsi="Arial" w:cs="Arial"/>
              </w:rPr>
            </w:pPr>
            <w:r w:rsidRPr="0099632B">
              <w:rPr>
                <w:rFonts w:ascii="Arial" w:hAnsi="Arial" w:cs="Arial"/>
              </w:rPr>
              <w:t xml:space="preserve"> 3,400 </w:t>
            </w:r>
          </w:p>
        </w:tc>
        <w:tc>
          <w:tcPr>
            <w:tcW w:w="1134" w:type="dxa"/>
          </w:tcPr>
          <w:p w14:paraId="7EAF8396" w14:textId="150617B6" w:rsidR="00DF0D2E" w:rsidRPr="0099632B" w:rsidRDefault="00DF0D2E" w:rsidP="00DF0D2E">
            <w:pPr>
              <w:rPr>
                <w:rFonts w:ascii="Arial" w:hAnsi="Arial" w:cs="Arial"/>
              </w:rPr>
            </w:pPr>
            <w:r w:rsidRPr="0099632B">
              <w:rPr>
                <w:rFonts w:ascii="Arial" w:hAnsi="Arial" w:cs="Arial"/>
              </w:rPr>
              <w:t>1.6%</w:t>
            </w:r>
          </w:p>
        </w:tc>
        <w:tc>
          <w:tcPr>
            <w:tcW w:w="1276" w:type="dxa"/>
          </w:tcPr>
          <w:p w14:paraId="2E581C43" w14:textId="11313F18" w:rsidR="00DF0D2E" w:rsidRPr="0099632B" w:rsidRDefault="00DF0D2E" w:rsidP="00DF0D2E">
            <w:pPr>
              <w:rPr>
                <w:rFonts w:ascii="Arial" w:hAnsi="Arial" w:cs="Arial"/>
              </w:rPr>
            </w:pPr>
            <w:r w:rsidRPr="0099632B">
              <w:rPr>
                <w:rFonts w:ascii="Arial" w:hAnsi="Arial" w:cs="Arial"/>
              </w:rPr>
              <w:t>2.1%</w:t>
            </w:r>
          </w:p>
        </w:tc>
      </w:tr>
      <w:tr w:rsidR="00DF0D2E" w:rsidRPr="0099632B" w14:paraId="0268A6DE" w14:textId="77777777" w:rsidTr="006E4E7C">
        <w:tc>
          <w:tcPr>
            <w:tcW w:w="3681" w:type="dxa"/>
            <w:shd w:val="clear" w:color="auto" w:fill="D9D9D9" w:themeFill="background1" w:themeFillShade="D9"/>
          </w:tcPr>
          <w:p w14:paraId="28A12E38" w14:textId="181D159F" w:rsidR="00DF0D2E" w:rsidRPr="0099632B" w:rsidRDefault="00DF0D2E" w:rsidP="00DF0D2E">
            <w:pPr>
              <w:rPr>
                <w:rFonts w:ascii="Arial" w:hAnsi="Arial" w:cs="Arial"/>
              </w:rPr>
            </w:pPr>
            <w:r w:rsidRPr="0099632B">
              <w:rPr>
                <w:rFonts w:ascii="Arial" w:hAnsi="Arial" w:cs="Arial"/>
              </w:rPr>
              <w:t xml:space="preserve">Casinos and other gambling services </w:t>
            </w:r>
          </w:p>
        </w:tc>
        <w:tc>
          <w:tcPr>
            <w:tcW w:w="1134" w:type="dxa"/>
          </w:tcPr>
          <w:p w14:paraId="4A76D0AB" w14:textId="4D232A84" w:rsidR="00DF0D2E" w:rsidRPr="0099632B" w:rsidRDefault="00DF0D2E" w:rsidP="00DF0D2E">
            <w:pPr>
              <w:rPr>
                <w:rFonts w:ascii="Arial" w:hAnsi="Arial" w:cs="Arial"/>
              </w:rPr>
            </w:pPr>
            <w:r w:rsidRPr="0099632B">
              <w:rPr>
                <w:rFonts w:ascii="Arial" w:hAnsi="Arial" w:cs="Arial"/>
              </w:rPr>
              <w:t xml:space="preserve"> 300 </w:t>
            </w:r>
          </w:p>
        </w:tc>
        <w:tc>
          <w:tcPr>
            <w:tcW w:w="1134" w:type="dxa"/>
          </w:tcPr>
          <w:p w14:paraId="4B2FFE0C" w14:textId="1BB2ACCE" w:rsidR="00DF0D2E" w:rsidRPr="0099632B" w:rsidRDefault="00DF0D2E" w:rsidP="00DF0D2E">
            <w:pPr>
              <w:rPr>
                <w:rFonts w:ascii="Arial" w:hAnsi="Arial" w:cs="Arial"/>
              </w:rPr>
            </w:pPr>
            <w:r w:rsidRPr="0099632B">
              <w:rPr>
                <w:rFonts w:ascii="Arial" w:hAnsi="Arial" w:cs="Arial"/>
              </w:rPr>
              <w:t xml:space="preserve"> 100 </w:t>
            </w:r>
          </w:p>
        </w:tc>
        <w:tc>
          <w:tcPr>
            <w:tcW w:w="1134" w:type="dxa"/>
          </w:tcPr>
          <w:p w14:paraId="0B31E89B" w14:textId="58FC6C07" w:rsidR="00DF0D2E" w:rsidRPr="0099632B" w:rsidRDefault="00DF0D2E" w:rsidP="00DF0D2E">
            <w:pPr>
              <w:rPr>
                <w:rFonts w:ascii="Arial" w:hAnsi="Arial" w:cs="Arial"/>
              </w:rPr>
            </w:pPr>
            <w:r w:rsidRPr="0099632B">
              <w:rPr>
                <w:rFonts w:ascii="Arial" w:hAnsi="Arial" w:cs="Arial"/>
              </w:rPr>
              <w:t xml:space="preserve"> 500 </w:t>
            </w:r>
          </w:p>
        </w:tc>
        <w:tc>
          <w:tcPr>
            <w:tcW w:w="1134" w:type="dxa"/>
          </w:tcPr>
          <w:p w14:paraId="14B53869" w14:textId="36644F1F" w:rsidR="00DF0D2E" w:rsidRPr="0099632B" w:rsidRDefault="00DF0D2E" w:rsidP="00DF0D2E">
            <w:pPr>
              <w:rPr>
                <w:rFonts w:ascii="Arial" w:hAnsi="Arial" w:cs="Arial"/>
              </w:rPr>
            </w:pPr>
            <w:r w:rsidRPr="0099632B">
              <w:rPr>
                <w:rFonts w:ascii="Arial" w:hAnsi="Arial" w:cs="Arial"/>
              </w:rPr>
              <w:t>0.4%</w:t>
            </w:r>
          </w:p>
        </w:tc>
        <w:tc>
          <w:tcPr>
            <w:tcW w:w="1276" w:type="dxa"/>
          </w:tcPr>
          <w:p w14:paraId="0741CD2B" w14:textId="3E777450" w:rsidR="00DF0D2E" w:rsidRPr="0099632B" w:rsidRDefault="00DF0D2E" w:rsidP="00DF0D2E">
            <w:pPr>
              <w:rPr>
                <w:rFonts w:ascii="Arial" w:hAnsi="Arial" w:cs="Arial"/>
              </w:rPr>
            </w:pPr>
            <w:r w:rsidRPr="0099632B">
              <w:rPr>
                <w:rFonts w:ascii="Arial" w:hAnsi="Arial" w:cs="Arial"/>
              </w:rPr>
              <w:t>0.1%</w:t>
            </w:r>
          </w:p>
        </w:tc>
      </w:tr>
      <w:tr w:rsidR="00DF0D2E" w:rsidRPr="0099632B" w14:paraId="51CA71BF" w14:textId="77777777" w:rsidTr="00CF63FD">
        <w:tc>
          <w:tcPr>
            <w:tcW w:w="3681" w:type="dxa"/>
            <w:shd w:val="clear" w:color="auto" w:fill="D9D9D9" w:themeFill="background1" w:themeFillShade="D9"/>
          </w:tcPr>
          <w:p w14:paraId="03D647A0" w14:textId="7A224B22" w:rsidR="00DF0D2E" w:rsidRPr="0099632B" w:rsidRDefault="00DF0D2E" w:rsidP="00DF0D2E">
            <w:pPr>
              <w:rPr>
                <w:rFonts w:ascii="Arial" w:hAnsi="Arial" w:cs="Arial"/>
              </w:rPr>
            </w:pPr>
            <w:r w:rsidRPr="0099632B">
              <w:rPr>
                <w:rFonts w:ascii="Arial" w:hAnsi="Arial" w:cs="Arial"/>
              </w:rPr>
              <w:t>All other industries</w:t>
            </w:r>
          </w:p>
        </w:tc>
        <w:tc>
          <w:tcPr>
            <w:tcW w:w="1134" w:type="dxa"/>
          </w:tcPr>
          <w:p w14:paraId="4E8688B6" w14:textId="4F96633B" w:rsidR="00DF0D2E" w:rsidRPr="0099632B" w:rsidRDefault="00DF0D2E" w:rsidP="00DF0D2E">
            <w:pPr>
              <w:rPr>
                <w:rFonts w:ascii="Arial" w:hAnsi="Arial" w:cs="Arial"/>
              </w:rPr>
            </w:pPr>
            <w:r w:rsidRPr="0099632B">
              <w:rPr>
                <w:rFonts w:ascii="Arial" w:hAnsi="Arial" w:cs="Arial"/>
              </w:rPr>
              <w:t xml:space="preserve"> 2,200 </w:t>
            </w:r>
          </w:p>
        </w:tc>
        <w:tc>
          <w:tcPr>
            <w:tcW w:w="1134" w:type="dxa"/>
          </w:tcPr>
          <w:p w14:paraId="1A3798CF" w14:textId="576E3495" w:rsidR="00DF0D2E" w:rsidRPr="0099632B" w:rsidRDefault="00DF0D2E" w:rsidP="00DF0D2E">
            <w:pPr>
              <w:rPr>
                <w:rFonts w:ascii="Arial" w:hAnsi="Arial" w:cs="Arial"/>
              </w:rPr>
            </w:pPr>
            <w:r w:rsidRPr="0099632B">
              <w:rPr>
                <w:rFonts w:ascii="Arial" w:hAnsi="Arial" w:cs="Arial"/>
              </w:rPr>
              <w:t xml:space="preserve"> 600 </w:t>
            </w:r>
          </w:p>
        </w:tc>
        <w:tc>
          <w:tcPr>
            <w:tcW w:w="1134" w:type="dxa"/>
          </w:tcPr>
          <w:p w14:paraId="61EDFA90" w14:textId="5FAD4E3E" w:rsidR="00DF0D2E" w:rsidRPr="0099632B" w:rsidRDefault="00DF0D2E" w:rsidP="00DF0D2E">
            <w:pPr>
              <w:rPr>
                <w:rFonts w:ascii="Arial" w:hAnsi="Arial" w:cs="Arial"/>
              </w:rPr>
            </w:pPr>
            <w:r w:rsidRPr="0099632B">
              <w:rPr>
                <w:rFonts w:ascii="Arial" w:hAnsi="Arial" w:cs="Arial"/>
              </w:rPr>
              <w:t xml:space="preserve"> 2,900 </w:t>
            </w:r>
          </w:p>
        </w:tc>
        <w:tc>
          <w:tcPr>
            <w:tcW w:w="1134" w:type="dxa"/>
          </w:tcPr>
          <w:p w14:paraId="01B25D74" w14:textId="6D6F8A2E" w:rsidR="00DF0D2E" w:rsidRPr="0099632B" w:rsidRDefault="00DF0D2E" w:rsidP="00DF0D2E">
            <w:pPr>
              <w:rPr>
                <w:rFonts w:ascii="Arial" w:hAnsi="Arial" w:cs="Arial"/>
              </w:rPr>
            </w:pPr>
            <w:r w:rsidRPr="0099632B">
              <w:rPr>
                <w:rFonts w:ascii="Arial" w:hAnsi="Arial" w:cs="Arial"/>
              </w:rPr>
              <w:t>2.4%</w:t>
            </w:r>
          </w:p>
        </w:tc>
        <w:tc>
          <w:tcPr>
            <w:tcW w:w="1276" w:type="dxa"/>
          </w:tcPr>
          <w:p w14:paraId="32B7D746" w14:textId="1E194EF7" w:rsidR="00DF0D2E" w:rsidRPr="0099632B" w:rsidRDefault="00DF0D2E" w:rsidP="00DF0D2E">
            <w:pPr>
              <w:rPr>
                <w:rFonts w:ascii="Arial" w:hAnsi="Arial" w:cs="Arial"/>
              </w:rPr>
            </w:pPr>
            <w:r w:rsidRPr="0099632B">
              <w:rPr>
                <w:rFonts w:ascii="Arial" w:hAnsi="Arial" w:cs="Arial"/>
              </w:rPr>
              <w:t>0.7%</w:t>
            </w:r>
          </w:p>
        </w:tc>
      </w:tr>
      <w:tr w:rsidR="00DF0D2E" w:rsidRPr="0099632B" w14:paraId="44C38D06" w14:textId="77777777" w:rsidTr="00CF63FD">
        <w:tc>
          <w:tcPr>
            <w:tcW w:w="3681" w:type="dxa"/>
            <w:shd w:val="clear" w:color="auto" w:fill="D9D9D9" w:themeFill="background1" w:themeFillShade="D9"/>
          </w:tcPr>
          <w:p w14:paraId="5E7A8AA5" w14:textId="33DA0CA2" w:rsidR="00DF0D2E" w:rsidRPr="0099632B" w:rsidRDefault="00DF0D2E" w:rsidP="00DF0D2E">
            <w:pPr>
              <w:rPr>
                <w:rFonts w:ascii="Arial" w:hAnsi="Arial" w:cs="Arial"/>
                <w:b/>
                <w:bCs/>
              </w:rPr>
            </w:pPr>
            <w:r w:rsidRPr="0099632B">
              <w:rPr>
                <w:rFonts w:ascii="Arial" w:hAnsi="Arial" w:cs="Arial"/>
                <w:b/>
                <w:bCs/>
              </w:rPr>
              <w:t>Direct tourism employment</w:t>
            </w:r>
          </w:p>
        </w:tc>
        <w:tc>
          <w:tcPr>
            <w:tcW w:w="1134" w:type="dxa"/>
          </w:tcPr>
          <w:p w14:paraId="1E25C91D" w14:textId="0CF5DFC6" w:rsidR="00DF0D2E" w:rsidRPr="0099632B" w:rsidRDefault="00DF0D2E" w:rsidP="00DF0D2E">
            <w:pPr>
              <w:rPr>
                <w:rFonts w:ascii="Arial" w:hAnsi="Arial" w:cs="Arial"/>
                <w:b/>
                <w:bCs/>
              </w:rPr>
            </w:pPr>
            <w:r w:rsidRPr="0099632B">
              <w:rPr>
                <w:rFonts w:ascii="Arial" w:hAnsi="Arial" w:cs="Arial"/>
                <w:b/>
                <w:bCs/>
              </w:rPr>
              <w:t xml:space="preserve">91,700 </w:t>
            </w:r>
          </w:p>
        </w:tc>
        <w:tc>
          <w:tcPr>
            <w:tcW w:w="1134" w:type="dxa"/>
          </w:tcPr>
          <w:p w14:paraId="2AA129F7" w14:textId="6DF015DC" w:rsidR="00DF0D2E" w:rsidRPr="0099632B" w:rsidRDefault="00DF0D2E" w:rsidP="00DF0D2E">
            <w:pPr>
              <w:rPr>
                <w:rFonts w:ascii="Arial" w:hAnsi="Arial" w:cs="Arial"/>
                <w:b/>
                <w:bCs/>
              </w:rPr>
            </w:pPr>
            <w:r w:rsidRPr="0099632B">
              <w:rPr>
                <w:rFonts w:ascii="Arial" w:hAnsi="Arial" w:cs="Arial"/>
                <w:b/>
                <w:bCs/>
              </w:rPr>
              <w:t xml:space="preserve">92,100 </w:t>
            </w:r>
          </w:p>
        </w:tc>
        <w:tc>
          <w:tcPr>
            <w:tcW w:w="1134" w:type="dxa"/>
          </w:tcPr>
          <w:p w14:paraId="03D3A6B3" w14:textId="0A428356" w:rsidR="00DF0D2E" w:rsidRPr="0099632B" w:rsidRDefault="00DF0D2E" w:rsidP="00DF0D2E">
            <w:pPr>
              <w:rPr>
                <w:rFonts w:ascii="Arial" w:hAnsi="Arial" w:cs="Arial"/>
                <w:b/>
                <w:bCs/>
              </w:rPr>
            </w:pPr>
            <w:r w:rsidRPr="0099632B">
              <w:rPr>
                <w:rFonts w:ascii="Arial" w:hAnsi="Arial" w:cs="Arial"/>
                <w:b/>
                <w:bCs/>
              </w:rPr>
              <w:t xml:space="preserve">183,800 </w:t>
            </w:r>
          </w:p>
        </w:tc>
        <w:tc>
          <w:tcPr>
            <w:tcW w:w="1134" w:type="dxa"/>
          </w:tcPr>
          <w:p w14:paraId="69AEDCD1" w14:textId="61F5E293" w:rsidR="00DF0D2E" w:rsidRPr="0099632B" w:rsidRDefault="00DF0D2E" w:rsidP="00DF0D2E">
            <w:pPr>
              <w:rPr>
                <w:rFonts w:ascii="Arial" w:hAnsi="Arial" w:cs="Arial"/>
                <w:b/>
                <w:bCs/>
              </w:rPr>
            </w:pPr>
            <w:r w:rsidRPr="0099632B">
              <w:rPr>
                <w:rFonts w:ascii="Arial" w:hAnsi="Arial" w:cs="Arial"/>
                <w:b/>
                <w:bCs/>
              </w:rPr>
              <w:t>100.0%</w:t>
            </w:r>
          </w:p>
        </w:tc>
        <w:tc>
          <w:tcPr>
            <w:tcW w:w="1276" w:type="dxa"/>
          </w:tcPr>
          <w:p w14:paraId="745A3C2D" w14:textId="396E4D61" w:rsidR="00DF0D2E" w:rsidRPr="0099632B" w:rsidRDefault="00DF0D2E" w:rsidP="00DF0D2E">
            <w:pPr>
              <w:rPr>
                <w:rFonts w:ascii="Arial" w:hAnsi="Arial" w:cs="Arial"/>
                <w:b/>
                <w:bCs/>
              </w:rPr>
            </w:pPr>
            <w:r w:rsidRPr="0099632B">
              <w:rPr>
                <w:rFonts w:ascii="Arial" w:hAnsi="Arial" w:cs="Arial"/>
                <w:b/>
                <w:bCs/>
              </w:rPr>
              <w:t>100.0%</w:t>
            </w:r>
          </w:p>
        </w:tc>
      </w:tr>
    </w:tbl>
    <w:p w14:paraId="0BF03E40" w14:textId="707DD91E" w:rsidR="00D26DE5" w:rsidRPr="00B82E1F" w:rsidRDefault="00B01BC6" w:rsidP="00E10D19">
      <w:pPr>
        <w:pStyle w:val="Default"/>
        <w:spacing w:before="120" w:after="120"/>
        <w:rPr>
          <w:rFonts w:ascii="Arial" w:hAnsi="Arial" w:cs="Arial"/>
          <w:color w:val="auto"/>
          <w:sz w:val="23"/>
          <w:szCs w:val="23"/>
        </w:rPr>
      </w:pPr>
      <w:r w:rsidRPr="0099632B">
        <w:rPr>
          <w:rFonts w:ascii="Arial" w:hAnsi="Arial" w:cs="Arial"/>
          <w:color w:val="auto"/>
          <w:sz w:val="23"/>
          <w:szCs w:val="23"/>
        </w:rPr>
        <w:t>Note full-time and part-time tourism jobs within industries do not equate to the total due to the calculation method.</w:t>
      </w:r>
      <w:r w:rsidRPr="00B82E1F">
        <w:rPr>
          <w:rFonts w:ascii="Arial" w:hAnsi="Arial" w:cs="Arial"/>
          <w:color w:val="auto"/>
          <w:sz w:val="23"/>
          <w:szCs w:val="23"/>
        </w:rPr>
        <w:t xml:space="preserve"> </w:t>
      </w:r>
    </w:p>
    <w:p w14:paraId="6ED6508D" w14:textId="7D33E1AC" w:rsidR="002F0A29" w:rsidRPr="00B82E1F" w:rsidRDefault="00D54361" w:rsidP="002F5DF5">
      <w:pPr>
        <w:pStyle w:val="Heading1"/>
        <w:rPr>
          <w:rFonts w:cs="Arial"/>
        </w:rPr>
      </w:pPr>
      <w:r w:rsidRPr="00B82E1F">
        <w:rPr>
          <w:rFonts w:cs="Arial"/>
          <w:color w:val="auto"/>
          <w:sz w:val="23"/>
          <w:szCs w:val="23"/>
        </w:rPr>
        <w:br w:type="page"/>
      </w:r>
      <w:bookmarkStart w:id="81" w:name="_Toc194938484"/>
      <w:r w:rsidR="00C43065" w:rsidRPr="00B82E1F">
        <w:rPr>
          <w:rFonts w:cs="Arial"/>
        </w:rPr>
        <w:lastRenderedPageBreak/>
        <w:t xml:space="preserve">10. </w:t>
      </w:r>
      <w:r w:rsidR="002F5DF5" w:rsidRPr="00B82E1F">
        <w:rPr>
          <w:rFonts w:cs="Arial"/>
        </w:rPr>
        <w:t>M</w:t>
      </w:r>
      <w:r w:rsidR="0010489F" w:rsidRPr="00B82E1F">
        <w:rPr>
          <w:rFonts w:cs="Arial"/>
        </w:rPr>
        <w:t xml:space="preserve">ethodology and </w:t>
      </w:r>
      <w:r w:rsidR="002F5DF5" w:rsidRPr="00B82E1F">
        <w:rPr>
          <w:rFonts w:cs="Arial"/>
        </w:rPr>
        <w:t>d</w:t>
      </w:r>
      <w:r w:rsidR="002F0A29" w:rsidRPr="00B82E1F">
        <w:rPr>
          <w:rFonts w:cs="Arial"/>
        </w:rPr>
        <w:t>ata notes</w:t>
      </w:r>
      <w:bookmarkEnd w:id="81"/>
      <w:r w:rsidR="002F0A29" w:rsidRPr="00B82E1F">
        <w:rPr>
          <w:rFonts w:cs="Arial"/>
        </w:rPr>
        <w:t xml:space="preserve"> </w:t>
      </w:r>
    </w:p>
    <w:p w14:paraId="2F15CB5D" w14:textId="77777777" w:rsidR="008116EA" w:rsidRPr="00B82E1F" w:rsidRDefault="008116EA" w:rsidP="00C3537E">
      <w:pPr>
        <w:pStyle w:val="NoSpacing"/>
        <w:rPr>
          <w:rFonts w:ascii="Arial" w:hAnsi="Arial" w:cs="Arial"/>
        </w:rPr>
      </w:pPr>
    </w:p>
    <w:p w14:paraId="696104C3" w14:textId="09AF8B71" w:rsidR="002F0A29" w:rsidRPr="00B82E1F" w:rsidRDefault="00C43065" w:rsidP="00790FF5">
      <w:pPr>
        <w:pStyle w:val="Heading2"/>
        <w:rPr>
          <w:rFonts w:ascii="Arial" w:hAnsi="Arial" w:cs="Arial"/>
          <w:color w:val="002060"/>
        </w:rPr>
      </w:pPr>
      <w:bookmarkStart w:id="82" w:name="_Toc194938485"/>
      <w:r w:rsidRPr="00B82E1F">
        <w:rPr>
          <w:rFonts w:ascii="Arial" w:hAnsi="Arial" w:cs="Arial"/>
          <w:color w:val="002060"/>
        </w:rPr>
        <w:t xml:space="preserve">10.1 </w:t>
      </w:r>
      <w:r w:rsidR="002F0A29" w:rsidRPr="00B82E1F">
        <w:rPr>
          <w:rFonts w:ascii="Arial" w:hAnsi="Arial" w:cs="Arial"/>
          <w:color w:val="002060"/>
        </w:rPr>
        <w:t>Background</w:t>
      </w:r>
      <w:bookmarkEnd w:id="82"/>
    </w:p>
    <w:p w14:paraId="12D65252" w14:textId="77777777" w:rsidR="000A4909" w:rsidRPr="0099632B" w:rsidRDefault="000A4909" w:rsidP="0099632B">
      <w:pPr>
        <w:pStyle w:val="Default"/>
        <w:numPr>
          <w:ilvl w:val="0"/>
          <w:numId w:val="2"/>
        </w:numPr>
        <w:spacing w:after="200" w:line="288" w:lineRule="auto"/>
        <w:ind w:left="357" w:hanging="357"/>
        <w:rPr>
          <w:rFonts w:ascii="Arial" w:hAnsi="Arial" w:cs="Arial"/>
          <w:sz w:val="23"/>
          <w:szCs w:val="23"/>
        </w:rPr>
      </w:pPr>
      <w:r w:rsidRPr="0099632B">
        <w:rPr>
          <w:rFonts w:ascii="Arial" w:hAnsi="Arial" w:cs="Arial"/>
          <w:sz w:val="23"/>
          <w:szCs w:val="23"/>
        </w:rPr>
        <w:t>Travellers participate in many different activities during their trip, from shopping, eating out and visiting attractions to using transport and staying in accommodation. As a result, the impacts of tourism occur across many industries and can’t be measured in the same way as other parts of the economy.</w:t>
      </w:r>
    </w:p>
    <w:p w14:paraId="4320CAF0" w14:textId="77777777" w:rsidR="000A4909" w:rsidRPr="0099632B" w:rsidRDefault="000A4909" w:rsidP="0099632B">
      <w:pPr>
        <w:pStyle w:val="Default"/>
        <w:numPr>
          <w:ilvl w:val="0"/>
          <w:numId w:val="2"/>
        </w:numPr>
        <w:spacing w:after="200" w:line="288" w:lineRule="auto"/>
        <w:ind w:left="357" w:hanging="357"/>
        <w:rPr>
          <w:rFonts w:ascii="Arial" w:hAnsi="Arial" w:cs="Arial"/>
          <w:sz w:val="23"/>
          <w:szCs w:val="23"/>
        </w:rPr>
      </w:pPr>
      <w:r w:rsidRPr="0099632B">
        <w:rPr>
          <w:rFonts w:ascii="Arial" w:hAnsi="Arial" w:cs="Arial"/>
          <w:sz w:val="23"/>
          <w:szCs w:val="23"/>
        </w:rPr>
        <w:t>As such</w:t>
      </w:r>
      <w:r w:rsidRPr="0099632B">
        <w:rPr>
          <w:rFonts w:ascii="Arial" w:hAnsi="Arial" w:cs="Arial"/>
          <w:color w:val="auto"/>
          <w:sz w:val="23"/>
          <w:szCs w:val="23"/>
        </w:rPr>
        <w:t>, the Australian Bureau of Statistics (ABS) produce Tourism Satellite Accounts (TSA). The TSA, part of the Australian National Accounts, estimate the impact of tourism on the Australian economy</w:t>
      </w:r>
      <w:r w:rsidRPr="0099632B">
        <w:rPr>
          <w:rFonts w:ascii="Arial" w:hAnsi="Arial" w:cs="Arial"/>
          <w:sz w:val="23"/>
          <w:szCs w:val="23"/>
        </w:rPr>
        <w:t>. They use an internationally accepted methodology developed by the Organisation for Economic Co-operation and Development (OECD) and the World Tourism Organization (UNWTO).</w:t>
      </w:r>
    </w:p>
    <w:p w14:paraId="5C162709" w14:textId="77777777" w:rsidR="000A4909" w:rsidRPr="0099632B" w:rsidRDefault="000A4909" w:rsidP="0099632B">
      <w:pPr>
        <w:pStyle w:val="Default"/>
        <w:numPr>
          <w:ilvl w:val="0"/>
          <w:numId w:val="2"/>
        </w:numPr>
        <w:spacing w:after="200" w:line="288" w:lineRule="auto"/>
        <w:ind w:left="357" w:hanging="357"/>
        <w:rPr>
          <w:rFonts w:ascii="Arial" w:hAnsi="Arial" w:cs="Arial"/>
          <w:sz w:val="23"/>
          <w:szCs w:val="23"/>
        </w:rPr>
      </w:pPr>
      <w:r w:rsidRPr="0099632B">
        <w:rPr>
          <w:rFonts w:ascii="Arial" w:hAnsi="Arial" w:cs="Arial"/>
          <w:sz w:val="23"/>
          <w:szCs w:val="23"/>
        </w:rPr>
        <w:t>The TSA includes measures of the economic contribution of tourism to Gross Value Added (GVA), Gross Domestic Product (GDP)/Gross State Product (GSP) and filled jobs. It also provides information about tourism consumption, output, taxation, and the composition of the tourism industry and its interaction with other industries.</w:t>
      </w:r>
    </w:p>
    <w:p w14:paraId="58E479E8" w14:textId="77777777" w:rsidR="000A4909" w:rsidRPr="0099632B" w:rsidRDefault="000A4909" w:rsidP="0099632B">
      <w:pPr>
        <w:pStyle w:val="Default"/>
        <w:numPr>
          <w:ilvl w:val="0"/>
          <w:numId w:val="2"/>
        </w:numPr>
        <w:spacing w:after="200" w:line="288" w:lineRule="auto"/>
        <w:ind w:left="357" w:hanging="357"/>
        <w:rPr>
          <w:rFonts w:ascii="Arial" w:hAnsi="Arial" w:cs="Arial"/>
          <w:sz w:val="23"/>
          <w:szCs w:val="23"/>
        </w:rPr>
      </w:pPr>
      <w:r w:rsidRPr="0099632B">
        <w:rPr>
          <w:rFonts w:ascii="Arial" w:hAnsi="Arial" w:cs="Arial"/>
          <w:sz w:val="23"/>
          <w:szCs w:val="23"/>
        </w:rPr>
        <w:t>As an economic modelling exercise, the TSA estimates generated are subject to the quality of data inputs and underlying assumptions.</w:t>
      </w:r>
    </w:p>
    <w:p w14:paraId="511AF9E1" w14:textId="502599DD" w:rsidR="00374898" w:rsidRPr="0099632B" w:rsidRDefault="000A4909" w:rsidP="0099632B">
      <w:pPr>
        <w:pStyle w:val="Default"/>
        <w:numPr>
          <w:ilvl w:val="0"/>
          <w:numId w:val="2"/>
        </w:numPr>
        <w:spacing w:after="200" w:line="288" w:lineRule="auto"/>
        <w:ind w:left="357" w:hanging="357"/>
        <w:rPr>
          <w:rFonts w:ascii="Arial" w:hAnsi="Arial" w:cs="Arial"/>
          <w:sz w:val="23"/>
          <w:szCs w:val="23"/>
        </w:rPr>
      </w:pPr>
      <w:r w:rsidRPr="0099632B">
        <w:rPr>
          <w:rFonts w:ascii="Arial" w:hAnsi="Arial" w:cs="Arial"/>
          <w:sz w:val="23"/>
          <w:szCs w:val="23"/>
        </w:rPr>
        <w:t>The 2023-24 State TSA report follows the release of the National TSA for 2023-24 by the ABS and includes back-cast data.</w:t>
      </w:r>
    </w:p>
    <w:p w14:paraId="3654B7D7" w14:textId="77777777" w:rsidR="0030550B" w:rsidRPr="000A4909" w:rsidRDefault="0030550B" w:rsidP="0030550B">
      <w:pPr>
        <w:pStyle w:val="Default"/>
        <w:spacing w:after="120"/>
        <w:rPr>
          <w:rFonts w:ascii="Arial" w:hAnsi="Arial" w:cs="Arial"/>
          <w:sz w:val="23"/>
          <w:szCs w:val="23"/>
        </w:rPr>
      </w:pPr>
    </w:p>
    <w:p w14:paraId="4459A4A5" w14:textId="062640C4" w:rsidR="00374898" w:rsidRPr="00B82E1F" w:rsidRDefault="00C43065" w:rsidP="00790FF5">
      <w:pPr>
        <w:pStyle w:val="Heading2"/>
        <w:rPr>
          <w:rFonts w:ascii="Arial" w:hAnsi="Arial" w:cs="Arial"/>
          <w:color w:val="002060"/>
        </w:rPr>
      </w:pPr>
      <w:bookmarkStart w:id="83" w:name="_Toc194938486"/>
      <w:r w:rsidRPr="00B82E1F">
        <w:rPr>
          <w:rFonts w:ascii="Arial" w:hAnsi="Arial" w:cs="Arial"/>
          <w:color w:val="002060"/>
        </w:rPr>
        <w:t xml:space="preserve">10.2 </w:t>
      </w:r>
      <w:r w:rsidR="000A4909">
        <w:rPr>
          <w:rFonts w:ascii="Arial" w:hAnsi="Arial" w:cs="Arial"/>
          <w:color w:val="002060"/>
        </w:rPr>
        <w:t>Data notes</w:t>
      </w:r>
      <w:bookmarkEnd w:id="83"/>
    </w:p>
    <w:p w14:paraId="2AF83664" w14:textId="77777777" w:rsidR="0031762A" w:rsidRPr="00B82E1F" w:rsidRDefault="0031762A" w:rsidP="0031762A">
      <w:pPr>
        <w:rPr>
          <w:sz w:val="8"/>
          <w:szCs w:val="8"/>
        </w:rPr>
      </w:pPr>
    </w:p>
    <w:p w14:paraId="1AB115A0" w14:textId="77777777" w:rsidR="00147B63" w:rsidRPr="00FA5CAE" w:rsidRDefault="00147B63" w:rsidP="00A16365">
      <w:pPr>
        <w:numPr>
          <w:ilvl w:val="0"/>
          <w:numId w:val="2"/>
        </w:numPr>
        <w:rPr>
          <w:rFonts w:ascii="Arial" w:hAnsi="Arial" w:cs="Arial"/>
          <w:sz w:val="23"/>
          <w:szCs w:val="23"/>
        </w:rPr>
      </w:pPr>
      <w:r w:rsidRPr="00FA5CAE">
        <w:rPr>
          <w:rFonts w:ascii="Arial" w:hAnsi="Arial" w:cs="Arial"/>
          <w:sz w:val="23"/>
          <w:szCs w:val="23"/>
        </w:rPr>
        <w:t xml:space="preserve">The ABS undertook a comprehensive methodological revision of the TSA for the 2023-24 release, adopting new data sources to make the accounts more responsive to changes in socio-economic and environmental scenarios at national and international levels. They applied this revision from 2016-17 onwards. </w:t>
      </w:r>
    </w:p>
    <w:p w14:paraId="16976A07" w14:textId="0A76E1EC" w:rsidR="00147B63" w:rsidRPr="00FA5CAE" w:rsidRDefault="00147B63" w:rsidP="00147B63">
      <w:pPr>
        <w:numPr>
          <w:ilvl w:val="0"/>
          <w:numId w:val="2"/>
        </w:numPr>
        <w:rPr>
          <w:rFonts w:ascii="Arial" w:hAnsi="Arial" w:cs="Arial"/>
          <w:color w:val="000000"/>
          <w:sz w:val="23"/>
          <w:szCs w:val="23"/>
        </w:rPr>
      </w:pPr>
      <w:r w:rsidRPr="00FA5CAE">
        <w:rPr>
          <w:rFonts w:ascii="Arial" w:hAnsi="Arial" w:cs="Arial"/>
          <w:color w:val="000000"/>
          <w:sz w:val="23"/>
          <w:szCs w:val="23"/>
        </w:rPr>
        <w:t xml:space="preserve">As the STSA is constrained by the availability of data and builds on the Australian Bureau of Statistics’ (ABS) Australian Tourism Satellite Account, the STSA contains state level results from 2016-17 onwards. For more details on changes please refer to the </w:t>
      </w:r>
      <w:hyperlink r:id="rId11" w:history="1">
        <w:r w:rsidRPr="00FA5CAE">
          <w:rPr>
            <w:rStyle w:val="Hyperlink"/>
            <w:rFonts w:ascii="Arial" w:hAnsi="Arial" w:cs="Arial"/>
            <w:sz w:val="23"/>
            <w:szCs w:val="23"/>
          </w:rPr>
          <w:t>Australian Bureau of Statistics</w:t>
        </w:r>
      </w:hyperlink>
      <w:r w:rsidRPr="00FA5CAE">
        <w:rPr>
          <w:rFonts w:ascii="Arial" w:hAnsi="Arial" w:cs="Arial"/>
          <w:color w:val="000000"/>
          <w:sz w:val="23"/>
          <w:szCs w:val="23"/>
        </w:rPr>
        <w:t>.</w:t>
      </w:r>
      <w:r w:rsidR="00A16365" w:rsidRPr="00FA5CAE">
        <w:rPr>
          <w:rFonts w:ascii="Arial" w:hAnsi="Arial" w:cs="Arial"/>
          <w:color w:val="000000"/>
          <w:sz w:val="23"/>
          <w:szCs w:val="23"/>
        </w:rPr>
        <w:t xml:space="preserve"> </w:t>
      </w:r>
    </w:p>
    <w:p w14:paraId="39D82635" w14:textId="4CDD7735" w:rsidR="00952701" w:rsidRPr="00FA5CAE" w:rsidRDefault="00147B63" w:rsidP="00147B63">
      <w:pPr>
        <w:numPr>
          <w:ilvl w:val="0"/>
          <w:numId w:val="2"/>
        </w:numPr>
        <w:rPr>
          <w:rFonts w:ascii="Arial" w:hAnsi="Arial" w:cs="Arial"/>
          <w:sz w:val="23"/>
          <w:szCs w:val="23"/>
        </w:rPr>
      </w:pPr>
      <w:r w:rsidRPr="00FA5CAE">
        <w:rPr>
          <w:rFonts w:ascii="Arial" w:hAnsi="Arial" w:cs="Arial"/>
          <w:color w:val="000000"/>
          <w:sz w:val="23"/>
          <w:szCs w:val="23"/>
        </w:rPr>
        <w:t>The STSA is also reliant on a range of other statistics, which are subject to revision from time to time including inputs from the National and International Visitor Survey</w:t>
      </w:r>
      <w:r w:rsidR="00A16365" w:rsidRPr="00FA5CAE">
        <w:rPr>
          <w:rFonts w:ascii="Arial" w:hAnsi="Arial" w:cs="Arial"/>
          <w:color w:val="000000"/>
          <w:sz w:val="23"/>
          <w:szCs w:val="23"/>
        </w:rPr>
        <w:t>s</w:t>
      </w:r>
      <w:r w:rsidRPr="00FA5CAE">
        <w:rPr>
          <w:rFonts w:ascii="Arial" w:hAnsi="Arial" w:cs="Arial"/>
          <w:color w:val="000000"/>
          <w:sz w:val="23"/>
          <w:szCs w:val="23"/>
        </w:rPr>
        <w:t>. Further information on the STSA methodology is available at</w:t>
      </w:r>
      <w:r w:rsidR="00685710" w:rsidRPr="00FA5CAE">
        <w:rPr>
          <w:rFonts w:ascii="Arial" w:hAnsi="Arial" w:cs="Arial"/>
          <w:color w:val="000000"/>
          <w:sz w:val="23"/>
          <w:szCs w:val="23"/>
        </w:rPr>
        <w:t xml:space="preserve"> </w:t>
      </w:r>
      <w:hyperlink r:id="rId12" w:history="1">
        <w:r w:rsidR="00952701" w:rsidRPr="00FA5CAE">
          <w:rPr>
            <w:rStyle w:val="Hyperlink"/>
            <w:rFonts w:ascii="Arial" w:hAnsi="Arial" w:cs="Arial"/>
            <w:sz w:val="23"/>
            <w:szCs w:val="23"/>
          </w:rPr>
          <w:t>Tourism Research Australia</w:t>
        </w:r>
      </w:hyperlink>
      <w:r w:rsidR="00952701" w:rsidRPr="00FA5CAE">
        <w:rPr>
          <w:rFonts w:ascii="Arial" w:hAnsi="Arial" w:cs="Arial"/>
          <w:sz w:val="23"/>
          <w:szCs w:val="23"/>
        </w:rPr>
        <w:t>.</w:t>
      </w:r>
    </w:p>
    <w:p w14:paraId="343E9FB0" w14:textId="66B9AFCC" w:rsidR="00952701" w:rsidRPr="00685710" w:rsidRDefault="00952701" w:rsidP="00952701">
      <w:pPr>
        <w:numPr>
          <w:ilvl w:val="0"/>
          <w:numId w:val="2"/>
        </w:numPr>
        <w:rPr>
          <w:rFonts w:ascii="Arial" w:hAnsi="Arial" w:cs="Arial"/>
          <w:sz w:val="23"/>
          <w:szCs w:val="23"/>
        </w:rPr>
      </w:pPr>
      <w:r w:rsidRPr="00685710">
        <w:rPr>
          <w:rFonts w:ascii="Arial" w:hAnsi="Arial" w:cs="Arial"/>
          <w:sz w:val="23"/>
          <w:szCs w:val="23"/>
          <w:lang w:val="en-US"/>
        </w:rPr>
        <w:t>To note: the State TSA estimates in this publication are not comparable to previously released estimates. The most recent results should only be compared to the revised time series in this release to ensure like-for-like comparisons.</w:t>
      </w:r>
    </w:p>
    <w:p w14:paraId="25D6D36A" w14:textId="77777777" w:rsidR="00C110F3" w:rsidRPr="00B82E1F" w:rsidRDefault="00C110F3" w:rsidP="00C43065">
      <w:pPr>
        <w:rPr>
          <w:sz w:val="8"/>
          <w:szCs w:val="8"/>
        </w:rPr>
      </w:pPr>
    </w:p>
    <w:p w14:paraId="7324B32D" w14:textId="46882C2B" w:rsidR="00C110F3" w:rsidRPr="00B82E1F" w:rsidRDefault="00C43065" w:rsidP="00790FF5">
      <w:pPr>
        <w:pStyle w:val="Heading2"/>
        <w:rPr>
          <w:rFonts w:ascii="Arial" w:hAnsi="Arial" w:cs="Arial"/>
          <w:color w:val="002060"/>
        </w:rPr>
      </w:pPr>
      <w:bookmarkStart w:id="84" w:name="_Toc194938487"/>
      <w:r w:rsidRPr="00B82E1F">
        <w:rPr>
          <w:rFonts w:ascii="Arial" w:hAnsi="Arial" w:cs="Arial"/>
          <w:color w:val="002060"/>
        </w:rPr>
        <w:lastRenderedPageBreak/>
        <w:t xml:space="preserve">10.3 </w:t>
      </w:r>
      <w:r w:rsidR="00C110F3" w:rsidRPr="00B82E1F">
        <w:rPr>
          <w:rFonts w:ascii="Arial" w:hAnsi="Arial" w:cs="Arial"/>
          <w:color w:val="002060"/>
        </w:rPr>
        <w:t xml:space="preserve">Definitions and </w:t>
      </w:r>
      <w:r w:rsidR="00C3537E" w:rsidRPr="00B82E1F">
        <w:rPr>
          <w:rFonts w:ascii="Arial" w:hAnsi="Arial" w:cs="Arial"/>
          <w:color w:val="002060"/>
        </w:rPr>
        <w:t>n</w:t>
      </w:r>
      <w:r w:rsidR="00C110F3" w:rsidRPr="00B82E1F">
        <w:rPr>
          <w:rFonts w:ascii="Arial" w:hAnsi="Arial" w:cs="Arial"/>
          <w:color w:val="002060"/>
        </w:rPr>
        <w:t>otes</w:t>
      </w:r>
      <w:bookmarkEnd w:id="84"/>
    </w:p>
    <w:p w14:paraId="5527E8DC" w14:textId="48600A11" w:rsidR="00C110F3" w:rsidRPr="004F5D1F" w:rsidRDefault="00C110F3" w:rsidP="004F5D1F">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Tourism Satellite Account:</w:t>
      </w:r>
      <w:r w:rsidRPr="004F5D1F">
        <w:rPr>
          <w:rFonts w:ascii="Arial" w:hAnsi="Arial" w:cs="Arial"/>
          <w:color w:val="auto"/>
          <w:sz w:val="23"/>
          <w:szCs w:val="23"/>
        </w:rPr>
        <w:t xml:space="preserve"> Tourism Satellite Accounts (TSA) are used to supplement the System of National Accounts by measuring the economic contribution of tourism. The TSA estimates the worth of the tourism sector by combining the contributions of various goods and services across the economy. This then makes it possible to compare the economic contribution of the tourism industry</w:t>
      </w:r>
      <w:r w:rsidR="00FA5CAE" w:rsidRPr="004F5D1F">
        <w:rPr>
          <w:rFonts w:ascii="Arial" w:hAnsi="Arial" w:cs="Arial"/>
          <w:color w:val="auto"/>
          <w:sz w:val="23"/>
          <w:szCs w:val="23"/>
        </w:rPr>
        <w:t xml:space="preserve"> </w:t>
      </w:r>
      <w:r w:rsidRPr="004F5D1F">
        <w:rPr>
          <w:rFonts w:ascii="Arial" w:hAnsi="Arial" w:cs="Arial"/>
          <w:color w:val="auto"/>
          <w:sz w:val="23"/>
          <w:szCs w:val="23"/>
        </w:rPr>
        <w:t xml:space="preserve">and its individual sectors to conventional industries. </w:t>
      </w:r>
    </w:p>
    <w:p w14:paraId="771D16E9" w14:textId="563D8D5E" w:rsidR="00C110F3" w:rsidRPr="004F5D1F" w:rsidRDefault="00C110F3" w:rsidP="004F5D1F">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Concept of Tourism:</w:t>
      </w:r>
      <w:r w:rsidRPr="004F5D1F">
        <w:rPr>
          <w:rFonts w:ascii="Arial" w:hAnsi="Arial" w:cs="Arial"/>
          <w:color w:val="auto"/>
          <w:sz w:val="23"/>
          <w:szCs w:val="23"/>
        </w:rPr>
        <w:t xml:space="preserve"> Tourism is defined differently </w:t>
      </w:r>
      <w:r w:rsidR="00B12FE3" w:rsidRPr="004F5D1F">
        <w:rPr>
          <w:rFonts w:ascii="Arial" w:hAnsi="Arial" w:cs="Arial"/>
          <w:color w:val="auto"/>
          <w:sz w:val="23"/>
          <w:szCs w:val="23"/>
        </w:rPr>
        <w:t>from</w:t>
      </w:r>
      <w:r w:rsidRPr="004F5D1F">
        <w:rPr>
          <w:rFonts w:ascii="Arial" w:hAnsi="Arial" w:cs="Arial"/>
          <w:color w:val="auto"/>
          <w:sz w:val="23"/>
          <w:szCs w:val="23"/>
        </w:rPr>
        <w:t xml:space="preserve"> other standard industries, such as manufacturing or transport, as it is defined by the nature of the consumer, as a tourist (demand side), rather than the process by which goods or services are produced (supply side). Tourism is a component of many other standard industries, as tourists create demand in </w:t>
      </w:r>
      <w:r w:rsidR="00883094" w:rsidRPr="004F5D1F">
        <w:rPr>
          <w:rFonts w:ascii="Arial" w:hAnsi="Arial" w:cs="Arial"/>
          <w:color w:val="auto"/>
          <w:sz w:val="23"/>
          <w:szCs w:val="23"/>
        </w:rPr>
        <w:t xml:space="preserve">a </w:t>
      </w:r>
      <w:r w:rsidRPr="004F5D1F">
        <w:rPr>
          <w:rFonts w:ascii="Arial" w:hAnsi="Arial" w:cs="Arial"/>
          <w:color w:val="auto"/>
          <w:sz w:val="23"/>
          <w:szCs w:val="23"/>
        </w:rPr>
        <w:t>range</w:t>
      </w:r>
      <w:r w:rsidR="00F43226" w:rsidRPr="004F5D1F">
        <w:rPr>
          <w:rFonts w:ascii="Arial" w:hAnsi="Arial" w:cs="Arial"/>
          <w:color w:val="auto"/>
          <w:sz w:val="23"/>
          <w:szCs w:val="23"/>
        </w:rPr>
        <w:t xml:space="preserve"> of</w:t>
      </w:r>
      <w:r w:rsidRPr="004F5D1F">
        <w:rPr>
          <w:rFonts w:ascii="Arial" w:hAnsi="Arial" w:cs="Arial"/>
          <w:color w:val="auto"/>
          <w:sz w:val="23"/>
          <w:szCs w:val="23"/>
        </w:rPr>
        <w:t xml:space="preserve"> industries including accommodation, cafes, restaurants, retail trade and transport.</w:t>
      </w:r>
    </w:p>
    <w:p w14:paraId="3204E46D" w14:textId="3946B400" w:rsidR="00C110F3" w:rsidRPr="004F5D1F" w:rsidRDefault="00C110F3" w:rsidP="004F5D1F">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A tourist or visitor</w:t>
      </w:r>
      <w:r w:rsidRPr="004F5D1F">
        <w:rPr>
          <w:rFonts w:ascii="Arial" w:hAnsi="Arial" w:cs="Arial"/>
          <w:color w:val="auto"/>
          <w:sz w:val="23"/>
          <w:szCs w:val="23"/>
        </w:rPr>
        <w:t xml:space="preserve"> is defined as any person travelling for business, </w:t>
      </w:r>
      <w:r w:rsidR="001A11A3" w:rsidRPr="004F5D1F">
        <w:rPr>
          <w:rFonts w:ascii="Arial" w:hAnsi="Arial" w:cs="Arial"/>
          <w:color w:val="auto"/>
          <w:sz w:val="23"/>
          <w:szCs w:val="23"/>
        </w:rPr>
        <w:t>leisure,</w:t>
      </w:r>
      <w:r w:rsidRPr="004F5D1F">
        <w:rPr>
          <w:rFonts w:ascii="Arial" w:hAnsi="Arial" w:cs="Arial"/>
          <w:color w:val="auto"/>
          <w:sz w:val="23"/>
          <w:szCs w:val="23"/>
        </w:rPr>
        <w:t xml:space="preserve"> or other reason for less than 12 months duration, but not people travelling as part of a permanent migration or regular commuting. In Australia, using ABS and Tourism Research Australia definitions, a domestic visitor is a person travelling at least 40 k</w:t>
      </w:r>
      <w:r w:rsidR="00D02F54" w:rsidRPr="004F5D1F">
        <w:rPr>
          <w:rFonts w:ascii="Arial" w:hAnsi="Arial" w:cs="Arial"/>
          <w:color w:val="auto"/>
          <w:sz w:val="23"/>
          <w:szCs w:val="23"/>
        </w:rPr>
        <w:t xml:space="preserve">ilometres </w:t>
      </w:r>
      <w:r w:rsidRPr="004F5D1F">
        <w:rPr>
          <w:rFonts w:ascii="Arial" w:hAnsi="Arial" w:cs="Arial"/>
          <w:color w:val="auto"/>
          <w:sz w:val="23"/>
          <w:szCs w:val="23"/>
        </w:rPr>
        <w:t xml:space="preserve">each way overnight or at least 25 </w:t>
      </w:r>
      <w:r w:rsidR="00D02F54" w:rsidRPr="004F5D1F">
        <w:rPr>
          <w:rFonts w:ascii="Arial" w:hAnsi="Arial" w:cs="Arial"/>
          <w:color w:val="auto"/>
          <w:sz w:val="23"/>
          <w:szCs w:val="23"/>
        </w:rPr>
        <w:t>kilometres</w:t>
      </w:r>
      <w:r w:rsidRPr="004F5D1F">
        <w:rPr>
          <w:rFonts w:ascii="Arial" w:hAnsi="Arial" w:cs="Arial"/>
          <w:color w:val="auto"/>
          <w:sz w:val="23"/>
          <w:szCs w:val="23"/>
        </w:rPr>
        <w:t xml:space="preserve"> each way on a day trip.</w:t>
      </w:r>
    </w:p>
    <w:p w14:paraId="00BC0623" w14:textId="2387EA4F" w:rsidR="00C110F3" w:rsidRPr="004F5D1F" w:rsidRDefault="00C110F3" w:rsidP="004F5D1F">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Tourism consumption</w:t>
      </w:r>
      <w:r w:rsidRPr="004F5D1F">
        <w:rPr>
          <w:rFonts w:ascii="Arial" w:hAnsi="Arial" w:cs="Arial"/>
          <w:color w:val="auto"/>
          <w:sz w:val="23"/>
          <w:szCs w:val="23"/>
        </w:rPr>
        <w:t xml:space="preserve"> represents the demand side of tourism. It is the total value of goods and services consumed by domestic, inbound and outbound visitors. It consists of tourism expenditure plus imputed consumption on tourism related products. It is measured as the price the visitor pays including all taxes, </w:t>
      </w:r>
      <w:r w:rsidR="001A11A3" w:rsidRPr="004F5D1F">
        <w:rPr>
          <w:rFonts w:ascii="Arial" w:hAnsi="Arial" w:cs="Arial"/>
          <w:color w:val="auto"/>
          <w:sz w:val="23"/>
          <w:szCs w:val="23"/>
        </w:rPr>
        <w:t>subsidies,</w:t>
      </w:r>
      <w:r w:rsidRPr="004F5D1F">
        <w:rPr>
          <w:rFonts w:ascii="Arial" w:hAnsi="Arial" w:cs="Arial"/>
          <w:color w:val="auto"/>
          <w:sz w:val="23"/>
          <w:szCs w:val="23"/>
        </w:rPr>
        <w:t xml:space="preserve"> and sales margins (i.e., purchasers’ prices).</w:t>
      </w:r>
    </w:p>
    <w:p w14:paraId="59A7D02D" w14:textId="068FCB80" w:rsidR="00C110F3" w:rsidRPr="004F5D1F" w:rsidRDefault="00C110F3" w:rsidP="004F5D1F">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Tourism gross value added (GVA):</w:t>
      </w:r>
      <w:r w:rsidRPr="004F5D1F">
        <w:rPr>
          <w:rFonts w:ascii="Arial" w:hAnsi="Arial" w:cs="Arial"/>
          <w:color w:val="auto"/>
          <w:sz w:val="23"/>
          <w:szCs w:val="23"/>
        </w:rPr>
        <w:t xml:space="preserve"> Considered </w:t>
      </w:r>
      <w:r w:rsidR="00F43226" w:rsidRPr="004F5D1F">
        <w:rPr>
          <w:rFonts w:ascii="Arial" w:hAnsi="Arial" w:cs="Arial"/>
          <w:color w:val="auto"/>
          <w:sz w:val="23"/>
          <w:szCs w:val="23"/>
        </w:rPr>
        <w:t xml:space="preserve">to be </w:t>
      </w:r>
      <w:r w:rsidRPr="004F5D1F">
        <w:rPr>
          <w:rFonts w:ascii="Arial" w:hAnsi="Arial" w:cs="Arial"/>
          <w:color w:val="auto"/>
          <w:sz w:val="23"/>
          <w:szCs w:val="23"/>
        </w:rPr>
        <w:t xml:space="preserve">the most accurate measure of the contribution of the industry to the economy. It includes the total labour income and capital revenue received by the industry and the net taxes that </w:t>
      </w:r>
      <w:r w:rsidR="00AF3450" w:rsidRPr="004F5D1F">
        <w:rPr>
          <w:rFonts w:ascii="Arial" w:hAnsi="Arial" w:cs="Arial"/>
          <w:color w:val="auto"/>
          <w:sz w:val="23"/>
          <w:szCs w:val="23"/>
        </w:rPr>
        <w:t xml:space="preserve">the </w:t>
      </w:r>
      <w:r w:rsidRPr="004F5D1F">
        <w:rPr>
          <w:rFonts w:ascii="Arial" w:hAnsi="Arial" w:cs="Arial"/>
          <w:color w:val="auto"/>
          <w:sz w:val="23"/>
          <w:szCs w:val="23"/>
        </w:rPr>
        <w:t>government receives from the production and is measured in basic prices. GVA is often considered the most accurate way of measuring the contribution of an industry to the economy and is best used when comparing the direct contribution of the tourism industry against conventional industries (such as mining or manufacturing) or across countries and regions. Direct and indirect flow-on GVA are measured separately. Combined</w:t>
      </w:r>
      <w:r w:rsidR="00433344" w:rsidRPr="004F5D1F">
        <w:rPr>
          <w:rFonts w:ascii="Arial" w:hAnsi="Arial" w:cs="Arial"/>
          <w:color w:val="auto"/>
          <w:sz w:val="23"/>
          <w:szCs w:val="23"/>
        </w:rPr>
        <w:t>,</w:t>
      </w:r>
      <w:r w:rsidRPr="004F5D1F">
        <w:rPr>
          <w:rFonts w:ascii="Arial" w:hAnsi="Arial" w:cs="Arial"/>
          <w:color w:val="auto"/>
          <w:sz w:val="23"/>
          <w:szCs w:val="23"/>
        </w:rPr>
        <w:t xml:space="preserve"> they provide an estimate of total tourism GVA.</w:t>
      </w:r>
    </w:p>
    <w:p w14:paraId="6209B0DD" w14:textId="557E90CA" w:rsidR="00D42564" w:rsidRPr="004F5D1F" w:rsidRDefault="000E42CE" w:rsidP="004F5D1F">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Tourism gross state product (GSP):</w:t>
      </w:r>
      <w:r w:rsidRPr="004F5D1F">
        <w:rPr>
          <w:rFonts w:ascii="Arial" w:hAnsi="Arial" w:cs="Arial"/>
          <w:color w:val="auto"/>
          <w:sz w:val="23"/>
          <w:szCs w:val="23"/>
        </w:rPr>
        <w:t xml:space="preserve"> The equivalent of Gross Domestic Product (GDP) at a </w:t>
      </w:r>
      <w:r w:rsidR="001A11A3" w:rsidRPr="004F5D1F">
        <w:rPr>
          <w:rFonts w:ascii="Arial" w:hAnsi="Arial" w:cs="Arial"/>
          <w:color w:val="auto"/>
          <w:sz w:val="23"/>
          <w:szCs w:val="23"/>
        </w:rPr>
        <w:t>state</w:t>
      </w:r>
      <w:r w:rsidRPr="004F5D1F">
        <w:rPr>
          <w:rFonts w:ascii="Arial" w:hAnsi="Arial" w:cs="Arial"/>
          <w:color w:val="auto"/>
          <w:sz w:val="23"/>
          <w:szCs w:val="23"/>
        </w:rPr>
        <w:t xml:space="preserve"> level. GSP refers to tourism GVA plus net taxes on products that are attributable to the tourism industry. Generally, GSP has a higher value than tourism GVA. Direct and indirect flow-on GSP are measured separately. Combined</w:t>
      </w:r>
      <w:r w:rsidR="00433344" w:rsidRPr="004F5D1F">
        <w:rPr>
          <w:rFonts w:ascii="Arial" w:hAnsi="Arial" w:cs="Arial"/>
          <w:color w:val="auto"/>
          <w:sz w:val="23"/>
          <w:szCs w:val="23"/>
        </w:rPr>
        <w:t>,</w:t>
      </w:r>
      <w:r w:rsidRPr="004F5D1F">
        <w:rPr>
          <w:rFonts w:ascii="Arial" w:hAnsi="Arial" w:cs="Arial"/>
          <w:color w:val="auto"/>
          <w:sz w:val="23"/>
          <w:szCs w:val="23"/>
        </w:rPr>
        <w:t xml:space="preserve"> they provide an estimate of total tourism GSP.</w:t>
      </w:r>
    </w:p>
    <w:p w14:paraId="0E510023" w14:textId="77777777" w:rsidR="00D42564" w:rsidRPr="004F5D1F" w:rsidRDefault="00D42564">
      <w:pPr>
        <w:rPr>
          <w:rFonts w:ascii="Arial" w:hAnsi="Arial" w:cs="Arial"/>
          <w:sz w:val="23"/>
          <w:szCs w:val="23"/>
        </w:rPr>
      </w:pPr>
      <w:r w:rsidRPr="004F5D1F">
        <w:rPr>
          <w:rFonts w:ascii="Arial" w:hAnsi="Arial" w:cs="Arial"/>
          <w:sz w:val="23"/>
          <w:szCs w:val="23"/>
        </w:rPr>
        <w:br w:type="page"/>
      </w:r>
    </w:p>
    <w:p w14:paraId="28D2EE32" w14:textId="7BEDE888" w:rsidR="000E42CE" w:rsidRPr="004F5D1F" w:rsidRDefault="000E42CE" w:rsidP="00C92927">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lastRenderedPageBreak/>
        <w:t>State TSA</w:t>
      </w:r>
      <w:r w:rsidRPr="004F5D1F">
        <w:rPr>
          <w:rFonts w:ascii="Arial" w:hAnsi="Arial" w:cs="Arial"/>
          <w:color w:val="auto"/>
          <w:sz w:val="23"/>
          <w:szCs w:val="23"/>
        </w:rPr>
        <w:t xml:space="preserve"> goes beyond the scope of the national TSA by providing both the direct and indirect impacts of tourism and </w:t>
      </w:r>
      <w:r w:rsidR="00C52E43" w:rsidRPr="004F5D1F">
        <w:rPr>
          <w:rFonts w:ascii="Arial" w:hAnsi="Arial" w:cs="Arial"/>
          <w:color w:val="auto"/>
          <w:sz w:val="23"/>
          <w:szCs w:val="23"/>
        </w:rPr>
        <w:t>is</w:t>
      </w:r>
      <w:r w:rsidRPr="004F5D1F">
        <w:rPr>
          <w:rFonts w:ascii="Arial" w:hAnsi="Arial" w:cs="Arial"/>
          <w:color w:val="auto"/>
          <w:sz w:val="23"/>
          <w:szCs w:val="23"/>
        </w:rPr>
        <w:t xml:space="preserve"> measured separately using the TSA framework and Input Output (IO) modelling techniques, respectively. Combined</w:t>
      </w:r>
      <w:r w:rsidR="00C52E43" w:rsidRPr="004F5D1F">
        <w:rPr>
          <w:rFonts w:ascii="Arial" w:hAnsi="Arial" w:cs="Arial"/>
          <w:color w:val="auto"/>
          <w:sz w:val="23"/>
          <w:szCs w:val="23"/>
        </w:rPr>
        <w:t>,</w:t>
      </w:r>
      <w:r w:rsidRPr="004F5D1F">
        <w:rPr>
          <w:rFonts w:ascii="Arial" w:hAnsi="Arial" w:cs="Arial"/>
          <w:color w:val="auto"/>
          <w:sz w:val="23"/>
          <w:szCs w:val="23"/>
        </w:rPr>
        <w:t xml:space="preserve"> they provide an estimate of total tourism GSP.</w:t>
      </w:r>
    </w:p>
    <w:p w14:paraId="3F08BAD2" w14:textId="726D720F" w:rsidR="000E42CE" w:rsidRPr="004F5D1F" w:rsidRDefault="000E42CE" w:rsidP="00C92927">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The direct contribution of tourism</w:t>
      </w:r>
      <w:r w:rsidRPr="004F5D1F">
        <w:rPr>
          <w:rFonts w:ascii="Arial" w:hAnsi="Arial" w:cs="Arial"/>
          <w:color w:val="auto"/>
          <w:sz w:val="23"/>
          <w:szCs w:val="23"/>
        </w:rPr>
        <w:t xml:space="preserve"> measures the contribution of direct transactions between a visitor and producer of a good or service that involves a direct physical or economic relationship. Put simply, this would include the direct impact of a visitor staying at </w:t>
      </w:r>
      <w:r w:rsidR="00C52E43" w:rsidRPr="004F5D1F">
        <w:rPr>
          <w:rFonts w:ascii="Arial" w:hAnsi="Arial" w:cs="Arial"/>
          <w:color w:val="auto"/>
          <w:sz w:val="23"/>
          <w:szCs w:val="23"/>
        </w:rPr>
        <w:t xml:space="preserve">a </w:t>
      </w:r>
      <w:r w:rsidRPr="004F5D1F">
        <w:rPr>
          <w:rFonts w:ascii="Arial" w:hAnsi="Arial" w:cs="Arial"/>
          <w:color w:val="auto"/>
          <w:sz w:val="23"/>
          <w:szCs w:val="23"/>
        </w:rPr>
        <w:t>hotel or participating in a tour. Direct economic impacts are measured according to the TSA framework.</w:t>
      </w:r>
    </w:p>
    <w:p w14:paraId="4CF3EF24" w14:textId="6F892046" w:rsidR="000E42CE" w:rsidRPr="004F5D1F" w:rsidRDefault="000E42CE" w:rsidP="00C92927">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The indirect contribution of tourism</w:t>
      </w:r>
      <w:r w:rsidRPr="004F5D1F">
        <w:rPr>
          <w:rFonts w:ascii="Arial" w:hAnsi="Arial" w:cs="Arial"/>
          <w:color w:val="auto"/>
          <w:sz w:val="23"/>
          <w:szCs w:val="23"/>
        </w:rPr>
        <w:t xml:space="preserve"> captures the flow-on or ‘second round’ impacts created by the tourism industry. These result from the need for inputs to be supplied to the industries that directly provide goods and services to visitors. For example, this might include the fresh produce supplied to a hotel to deliver meals to guests. The inclusion of indirect contributions is not valid when comparing tourism against other industries (as it would involve extensive double counting)</w:t>
      </w:r>
      <w:r w:rsidR="009C0305" w:rsidRPr="004F5D1F">
        <w:rPr>
          <w:rFonts w:ascii="Arial" w:hAnsi="Arial" w:cs="Arial"/>
          <w:color w:val="auto"/>
          <w:sz w:val="23"/>
          <w:szCs w:val="23"/>
        </w:rPr>
        <w:t>;</w:t>
      </w:r>
      <w:r w:rsidRPr="004F5D1F">
        <w:rPr>
          <w:rFonts w:ascii="Arial" w:hAnsi="Arial" w:cs="Arial"/>
          <w:color w:val="auto"/>
          <w:sz w:val="23"/>
          <w:szCs w:val="23"/>
        </w:rPr>
        <w:t xml:space="preserve"> however</w:t>
      </w:r>
      <w:r w:rsidR="009C0305" w:rsidRPr="004F5D1F">
        <w:rPr>
          <w:rFonts w:ascii="Arial" w:hAnsi="Arial" w:cs="Arial"/>
          <w:color w:val="auto"/>
          <w:sz w:val="23"/>
          <w:szCs w:val="23"/>
        </w:rPr>
        <w:t>,</w:t>
      </w:r>
      <w:r w:rsidRPr="004F5D1F">
        <w:rPr>
          <w:rFonts w:ascii="Arial" w:hAnsi="Arial" w:cs="Arial"/>
          <w:color w:val="auto"/>
          <w:sz w:val="23"/>
          <w:szCs w:val="23"/>
        </w:rPr>
        <w:t xml:space="preserve"> it is useful when considering tourism in isolation and the flow-on effect and impact it has on the total economy.</w:t>
      </w:r>
    </w:p>
    <w:p w14:paraId="452A24A6" w14:textId="0DB9F913" w:rsidR="000E42CE" w:rsidRPr="004F5D1F" w:rsidRDefault="000E42CE" w:rsidP="00C92927">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Filled jobs (employment metric used in release</w:t>
      </w:r>
      <w:r w:rsidR="009C0305" w:rsidRPr="004F5D1F">
        <w:rPr>
          <w:rFonts w:ascii="Arial" w:hAnsi="Arial" w:cs="Arial"/>
          <w:b/>
          <w:bCs/>
          <w:color w:val="auto"/>
          <w:sz w:val="23"/>
          <w:szCs w:val="23"/>
        </w:rPr>
        <w:t>s from 2021-22</w:t>
      </w:r>
      <w:r w:rsidRPr="004F5D1F">
        <w:rPr>
          <w:rFonts w:ascii="Arial" w:hAnsi="Arial" w:cs="Arial"/>
          <w:color w:val="auto"/>
          <w:sz w:val="23"/>
          <w:szCs w:val="23"/>
        </w:rPr>
        <w:t>): Filled jobs refer to all positions of employment that are currently filled (including self-employment). Filled jobs can be measured from either household sources (such as the Labour Force Survey) or business sources (such as the Economic Activity Survey).</w:t>
      </w:r>
    </w:p>
    <w:p w14:paraId="32DDF52D" w14:textId="56102DB8" w:rsidR="000E42CE" w:rsidRPr="004F5D1F" w:rsidRDefault="000E42CE" w:rsidP="00C92927">
      <w:pPr>
        <w:pStyle w:val="Default"/>
        <w:numPr>
          <w:ilvl w:val="0"/>
          <w:numId w:val="2"/>
        </w:numPr>
        <w:spacing w:after="200" w:line="288" w:lineRule="auto"/>
        <w:ind w:left="357" w:hanging="357"/>
        <w:rPr>
          <w:rFonts w:ascii="Arial" w:hAnsi="Arial" w:cs="Arial"/>
          <w:color w:val="auto"/>
          <w:sz w:val="23"/>
          <w:szCs w:val="23"/>
        </w:rPr>
      </w:pPr>
      <w:r w:rsidRPr="004F5D1F">
        <w:rPr>
          <w:rFonts w:ascii="Arial" w:hAnsi="Arial" w:cs="Arial"/>
          <w:b/>
          <w:bCs/>
          <w:color w:val="auto"/>
          <w:sz w:val="23"/>
          <w:szCs w:val="23"/>
        </w:rPr>
        <w:t>Employed person (employment metric used in releases</w:t>
      </w:r>
      <w:r w:rsidR="002D5E44" w:rsidRPr="004F5D1F">
        <w:rPr>
          <w:rFonts w:ascii="Arial" w:hAnsi="Arial" w:cs="Arial"/>
          <w:b/>
          <w:bCs/>
          <w:color w:val="auto"/>
          <w:sz w:val="23"/>
          <w:szCs w:val="23"/>
        </w:rPr>
        <w:t xml:space="preserve"> up until </w:t>
      </w:r>
      <w:r w:rsidR="00147B63" w:rsidRPr="004F5D1F">
        <w:rPr>
          <w:rFonts w:ascii="Arial" w:hAnsi="Arial" w:cs="Arial"/>
          <w:b/>
          <w:bCs/>
          <w:color w:val="auto"/>
          <w:sz w:val="23"/>
          <w:szCs w:val="23"/>
        </w:rPr>
        <w:t>2020-21</w:t>
      </w:r>
      <w:r w:rsidRPr="004F5D1F">
        <w:rPr>
          <w:rFonts w:ascii="Arial" w:hAnsi="Arial" w:cs="Arial"/>
          <w:b/>
          <w:bCs/>
          <w:color w:val="auto"/>
          <w:sz w:val="23"/>
          <w:szCs w:val="23"/>
        </w:rPr>
        <w:t>):</w:t>
      </w:r>
      <w:r w:rsidRPr="004F5D1F">
        <w:rPr>
          <w:rFonts w:ascii="Arial" w:hAnsi="Arial" w:cs="Arial"/>
          <w:color w:val="auto"/>
          <w:sz w:val="23"/>
          <w:szCs w:val="23"/>
        </w:rPr>
        <w:t xml:space="preserve"> </w:t>
      </w:r>
      <w:r w:rsidR="00032EE3" w:rsidRPr="004F5D1F">
        <w:rPr>
          <w:rFonts w:ascii="Arial" w:hAnsi="Arial" w:cs="Arial"/>
          <w:color w:val="auto"/>
          <w:sz w:val="23"/>
          <w:szCs w:val="23"/>
        </w:rPr>
        <w:t xml:space="preserve">A </w:t>
      </w:r>
      <w:r w:rsidRPr="004F5D1F">
        <w:rPr>
          <w:rFonts w:ascii="Arial" w:hAnsi="Arial" w:cs="Arial"/>
          <w:color w:val="auto"/>
          <w:sz w:val="23"/>
          <w:szCs w:val="23"/>
        </w:rPr>
        <w:t>person aged 15 years and over who worked for one hour or more per week for pay, profit, commission</w:t>
      </w:r>
      <w:r w:rsidR="00572B39" w:rsidRPr="004F5D1F">
        <w:rPr>
          <w:rFonts w:ascii="Arial" w:hAnsi="Arial" w:cs="Arial"/>
          <w:color w:val="auto"/>
          <w:sz w:val="23"/>
          <w:szCs w:val="23"/>
        </w:rPr>
        <w:t>,</w:t>
      </w:r>
      <w:r w:rsidRPr="004F5D1F">
        <w:rPr>
          <w:rFonts w:ascii="Arial" w:hAnsi="Arial" w:cs="Arial"/>
          <w:color w:val="auto"/>
          <w:sz w:val="23"/>
          <w:szCs w:val="23"/>
        </w:rPr>
        <w:t xml:space="preserve"> or payment in kind in a job or business, or on a farm; or worked for one hour or more without pay in a family business or on a farm.</w:t>
      </w:r>
    </w:p>
    <w:p w14:paraId="2A51928B" w14:textId="77777777" w:rsidR="00C3537E" w:rsidRPr="004F5D1F" w:rsidRDefault="00C3537E" w:rsidP="00C43065"/>
    <w:p w14:paraId="6A8D4478" w14:textId="43B911F6" w:rsidR="00A42A07" w:rsidRPr="004F5D1F" w:rsidRDefault="00A42A07" w:rsidP="00A42A07">
      <w:pPr>
        <w:pStyle w:val="Default"/>
        <w:rPr>
          <w:rFonts w:ascii="Arial" w:hAnsi="Arial" w:cs="Arial"/>
          <w:color w:val="auto"/>
          <w:sz w:val="23"/>
          <w:szCs w:val="23"/>
        </w:rPr>
      </w:pPr>
      <w:r w:rsidRPr="004F5D1F">
        <w:rPr>
          <w:rFonts w:ascii="Arial" w:hAnsi="Arial" w:cs="Arial"/>
          <w:color w:val="auto"/>
          <w:sz w:val="23"/>
          <w:szCs w:val="23"/>
        </w:rPr>
        <w:t>Report produced by the Tourism and Events Research Unit</w:t>
      </w:r>
    </w:p>
    <w:p w14:paraId="48889EDD" w14:textId="6D935CC0" w:rsidR="00A42A07" w:rsidRPr="004F5D1F" w:rsidRDefault="00A42A07" w:rsidP="00A42A07">
      <w:pPr>
        <w:pStyle w:val="Default"/>
        <w:rPr>
          <w:rFonts w:ascii="Arial" w:hAnsi="Arial" w:cs="Arial"/>
          <w:color w:val="auto"/>
          <w:sz w:val="23"/>
          <w:szCs w:val="23"/>
        </w:rPr>
      </w:pPr>
      <w:r w:rsidRPr="004F5D1F">
        <w:rPr>
          <w:rFonts w:ascii="Arial" w:hAnsi="Arial" w:cs="Arial"/>
          <w:color w:val="auto"/>
          <w:sz w:val="23"/>
          <w:szCs w:val="23"/>
        </w:rPr>
        <w:t>Department of Jobs, Skills, Industry and Regions</w:t>
      </w:r>
      <w:r w:rsidR="00531DF3" w:rsidRPr="004F5D1F">
        <w:rPr>
          <w:rFonts w:ascii="Arial" w:hAnsi="Arial" w:cs="Arial"/>
          <w:color w:val="auto"/>
          <w:sz w:val="23"/>
          <w:szCs w:val="23"/>
        </w:rPr>
        <w:t xml:space="preserve"> (DJSIR)</w:t>
      </w:r>
    </w:p>
    <w:p w14:paraId="3C435402" w14:textId="77777777" w:rsidR="00A42A07" w:rsidRPr="004F5D1F" w:rsidRDefault="00A42A07" w:rsidP="00A42A07">
      <w:pPr>
        <w:pStyle w:val="Default"/>
        <w:rPr>
          <w:rFonts w:ascii="Arial" w:hAnsi="Arial" w:cs="Arial"/>
          <w:color w:val="auto"/>
          <w:sz w:val="23"/>
          <w:szCs w:val="23"/>
        </w:rPr>
      </w:pPr>
      <w:r w:rsidRPr="004F5D1F">
        <w:rPr>
          <w:rFonts w:ascii="Arial" w:hAnsi="Arial" w:cs="Arial"/>
          <w:color w:val="auto"/>
          <w:sz w:val="23"/>
          <w:szCs w:val="23"/>
        </w:rPr>
        <w:t>Victorian Government</w:t>
      </w:r>
    </w:p>
    <w:p w14:paraId="7DFAB4C1" w14:textId="141DA3B6" w:rsidR="00A42A07" w:rsidRPr="004F5D1F" w:rsidRDefault="00A42A07" w:rsidP="00A42A07">
      <w:pPr>
        <w:pStyle w:val="Default"/>
        <w:rPr>
          <w:rFonts w:ascii="Arial" w:hAnsi="Arial" w:cs="Arial"/>
          <w:color w:val="auto"/>
          <w:sz w:val="23"/>
          <w:szCs w:val="23"/>
        </w:rPr>
      </w:pPr>
      <w:r w:rsidRPr="004F5D1F">
        <w:rPr>
          <w:rFonts w:ascii="Arial" w:hAnsi="Arial" w:cs="Arial"/>
          <w:color w:val="auto"/>
          <w:sz w:val="23"/>
          <w:szCs w:val="23"/>
        </w:rPr>
        <w:t xml:space="preserve">Data published </w:t>
      </w:r>
      <w:r w:rsidR="007616CC" w:rsidRPr="004F5D1F">
        <w:rPr>
          <w:rFonts w:ascii="Arial" w:hAnsi="Arial" w:cs="Arial"/>
          <w:color w:val="auto"/>
          <w:sz w:val="23"/>
          <w:szCs w:val="23"/>
        </w:rPr>
        <w:t>April 202</w:t>
      </w:r>
      <w:r w:rsidR="00F0761B" w:rsidRPr="004F5D1F">
        <w:rPr>
          <w:rFonts w:ascii="Arial" w:hAnsi="Arial" w:cs="Arial"/>
          <w:color w:val="auto"/>
          <w:sz w:val="23"/>
          <w:szCs w:val="23"/>
        </w:rPr>
        <w:t>5</w:t>
      </w:r>
    </w:p>
    <w:p w14:paraId="77B58498" w14:textId="77777777" w:rsidR="00DC749A" w:rsidRPr="004F5D1F" w:rsidRDefault="00DC749A" w:rsidP="00A42A07">
      <w:pPr>
        <w:pStyle w:val="Default"/>
        <w:rPr>
          <w:rFonts w:ascii="Arial" w:hAnsi="Arial" w:cs="Arial"/>
          <w:color w:val="auto"/>
          <w:sz w:val="23"/>
          <w:szCs w:val="23"/>
        </w:rPr>
      </w:pPr>
    </w:p>
    <w:p w14:paraId="15F53CC3" w14:textId="55A2C4F5" w:rsidR="00A42A07" w:rsidRPr="004F5D1F" w:rsidRDefault="00A42A07" w:rsidP="00A42A07">
      <w:pPr>
        <w:pStyle w:val="Default"/>
        <w:rPr>
          <w:rFonts w:ascii="Arial" w:hAnsi="Arial" w:cs="Arial"/>
          <w:color w:val="auto"/>
          <w:sz w:val="23"/>
          <w:szCs w:val="23"/>
        </w:rPr>
      </w:pPr>
      <w:r w:rsidRPr="004F5D1F">
        <w:rPr>
          <w:rFonts w:ascii="Arial" w:hAnsi="Arial" w:cs="Arial"/>
          <w:color w:val="auto"/>
          <w:sz w:val="23"/>
          <w:szCs w:val="23"/>
        </w:rPr>
        <w:t xml:space="preserve">Further information can be found at </w:t>
      </w:r>
      <w:hyperlink r:id="rId13" w:history="1">
        <w:r w:rsidRPr="004F5D1F">
          <w:rPr>
            <w:rStyle w:val="Hyperlink"/>
            <w:rFonts w:ascii="Arial" w:hAnsi="Arial" w:cs="Arial"/>
            <w:sz w:val="23"/>
            <w:szCs w:val="23"/>
          </w:rPr>
          <w:t>Tourism Research Australia</w:t>
        </w:r>
      </w:hyperlink>
      <w:r w:rsidR="0094290F" w:rsidRPr="004F5D1F">
        <w:rPr>
          <w:rStyle w:val="Hyperlink"/>
          <w:rFonts w:ascii="Arial" w:hAnsi="Arial" w:cs="Arial"/>
          <w:sz w:val="23"/>
          <w:szCs w:val="23"/>
        </w:rPr>
        <w:t>.</w:t>
      </w:r>
    </w:p>
    <w:p w14:paraId="7C28C700" w14:textId="77777777" w:rsidR="00A42A07" w:rsidRPr="004F5D1F" w:rsidRDefault="00A42A07" w:rsidP="00A42A07">
      <w:pPr>
        <w:pStyle w:val="Default"/>
        <w:rPr>
          <w:rFonts w:ascii="Arial" w:hAnsi="Arial" w:cs="Arial"/>
          <w:color w:val="auto"/>
          <w:sz w:val="23"/>
          <w:szCs w:val="23"/>
        </w:rPr>
      </w:pPr>
      <w:r w:rsidRPr="004F5D1F">
        <w:rPr>
          <w:rFonts w:ascii="Arial" w:hAnsi="Arial" w:cs="Arial"/>
          <w:color w:val="auto"/>
          <w:sz w:val="23"/>
          <w:szCs w:val="23"/>
        </w:rPr>
        <w:t xml:space="preserve">Data is considered correct at the time of publishing. </w:t>
      </w:r>
    </w:p>
    <w:p w14:paraId="436733C0" w14:textId="51C8FD0A" w:rsidR="00A42A07" w:rsidRPr="004F5D1F" w:rsidRDefault="00A42A07" w:rsidP="00A42A07">
      <w:pPr>
        <w:pStyle w:val="Default"/>
        <w:rPr>
          <w:rFonts w:ascii="Arial" w:hAnsi="Arial" w:cs="Arial"/>
          <w:color w:val="auto"/>
          <w:sz w:val="23"/>
          <w:szCs w:val="23"/>
        </w:rPr>
      </w:pPr>
      <w:r w:rsidRPr="004F5D1F">
        <w:rPr>
          <w:rFonts w:ascii="Arial" w:hAnsi="Arial" w:cs="Arial"/>
          <w:color w:val="auto"/>
          <w:sz w:val="23"/>
          <w:szCs w:val="23"/>
        </w:rPr>
        <w:t>Due care is taken in the production of this report, however DJSIR accepts no responsibility for use of this information.</w:t>
      </w:r>
    </w:p>
    <w:p w14:paraId="2B43A971" w14:textId="77777777" w:rsidR="00A42A07" w:rsidRPr="004F5D1F" w:rsidRDefault="00A42A07" w:rsidP="00A42A07">
      <w:pPr>
        <w:pStyle w:val="Default"/>
        <w:rPr>
          <w:rFonts w:ascii="Arial" w:hAnsi="Arial" w:cs="Arial"/>
          <w:color w:val="auto"/>
          <w:sz w:val="23"/>
          <w:szCs w:val="23"/>
        </w:rPr>
      </w:pPr>
    </w:p>
    <w:p w14:paraId="69392430" w14:textId="15BA9F48" w:rsidR="00A42A07" w:rsidRPr="00F629C4" w:rsidRDefault="00A42A07" w:rsidP="00A42A07">
      <w:pPr>
        <w:pStyle w:val="Default"/>
        <w:rPr>
          <w:rFonts w:ascii="Arial" w:hAnsi="Arial" w:cs="Arial"/>
          <w:color w:val="auto"/>
          <w:sz w:val="23"/>
          <w:szCs w:val="23"/>
        </w:rPr>
      </w:pPr>
      <w:r w:rsidRPr="004F5D1F">
        <w:rPr>
          <w:rFonts w:ascii="Arial" w:hAnsi="Arial" w:cs="Arial"/>
          <w:color w:val="auto"/>
          <w:sz w:val="23"/>
          <w:szCs w:val="23"/>
        </w:rPr>
        <w:t xml:space="preserve">Please contact </w:t>
      </w:r>
      <w:r w:rsidR="00307AE7" w:rsidRPr="004F5D1F">
        <w:rPr>
          <w:rFonts w:ascii="Arial" w:hAnsi="Arial" w:cs="Arial"/>
          <w:color w:val="auto"/>
          <w:sz w:val="23"/>
          <w:szCs w:val="23"/>
        </w:rPr>
        <w:t xml:space="preserve">the Research team at </w:t>
      </w:r>
      <w:r w:rsidRPr="004F5D1F">
        <w:rPr>
          <w:rFonts w:ascii="Arial" w:hAnsi="Arial" w:cs="Arial"/>
          <w:color w:val="auto"/>
          <w:sz w:val="23"/>
          <w:szCs w:val="23"/>
        </w:rPr>
        <w:t xml:space="preserve">email address: </w:t>
      </w:r>
      <w:hyperlink r:id="rId14" w:history="1">
        <w:r w:rsidRPr="004F5D1F">
          <w:rPr>
            <w:rStyle w:val="Hyperlink"/>
            <w:rFonts w:ascii="Arial" w:hAnsi="Arial" w:cs="Arial"/>
            <w:sz w:val="23"/>
            <w:szCs w:val="23"/>
          </w:rPr>
          <w:t>research@ecodev.vic.gov.au</w:t>
        </w:r>
      </w:hyperlink>
      <w:r w:rsidRPr="004F5D1F">
        <w:rPr>
          <w:rFonts w:ascii="Arial" w:hAnsi="Arial" w:cs="Arial"/>
          <w:color w:val="auto"/>
          <w:sz w:val="23"/>
          <w:szCs w:val="23"/>
        </w:rPr>
        <w:t xml:space="preserve"> with any queries.</w:t>
      </w:r>
    </w:p>
    <w:sectPr w:rsidR="00A42A07" w:rsidRPr="00F629C4" w:rsidSect="00BC03FC">
      <w:headerReference w:type="default" r:id="rId15"/>
      <w:footerReference w:type="default" r:id="rId16"/>
      <w:pgSz w:w="11906" w:h="16838"/>
      <w:pgMar w:top="851" w:right="991" w:bottom="709"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426B9" w14:textId="77777777" w:rsidR="000A70AF" w:rsidRDefault="000A70AF" w:rsidP="00D67AEC">
      <w:pPr>
        <w:spacing w:after="0" w:line="240" w:lineRule="auto"/>
      </w:pPr>
      <w:r>
        <w:separator/>
      </w:r>
    </w:p>
  </w:endnote>
  <w:endnote w:type="continuationSeparator" w:id="0">
    <w:p w14:paraId="3B9013F7" w14:textId="77777777" w:rsidR="000A70AF" w:rsidRDefault="000A70AF" w:rsidP="00D67AEC">
      <w:pPr>
        <w:spacing w:after="0" w:line="240" w:lineRule="auto"/>
      </w:pPr>
      <w:r>
        <w:continuationSeparator/>
      </w:r>
    </w:p>
  </w:endnote>
  <w:endnote w:type="continuationNotice" w:id="1">
    <w:p w14:paraId="2F3FE8BA" w14:textId="77777777" w:rsidR="000A70AF" w:rsidRDefault="000A70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IC">
    <w:altName w:val="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1F164" w14:textId="7955A887" w:rsidR="00A5328C" w:rsidRPr="00F629C4" w:rsidRDefault="00AC4AEC">
    <w:pPr>
      <w:pStyle w:val="Footer"/>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0" allowOverlap="1" wp14:anchorId="662F3395" wp14:editId="56387B14">
              <wp:simplePos x="0" y="0"/>
              <wp:positionH relativeFrom="page">
                <wp:posOffset>0</wp:posOffset>
              </wp:positionH>
              <wp:positionV relativeFrom="page">
                <wp:posOffset>10248900</wp:posOffset>
              </wp:positionV>
              <wp:extent cx="7560310" cy="252095"/>
              <wp:effectExtent l="0" t="0" r="0" b="14605"/>
              <wp:wrapNone/>
              <wp:docPr id="1" name="MSIPCM97834936976d0dcca11f78ec"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A15A6B" w14:textId="434900CF" w:rsidR="00AC4AEC" w:rsidRPr="00AC4AEC" w:rsidRDefault="00AC4AEC" w:rsidP="00AC4AEC">
                          <w:pPr>
                            <w:spacing w:after="0"/>
                            <w:jc w:val="center"/>
                            <w:rPr>
                              <w:rFonts w:ascii="Arial" w:hAnsi="Arial" w:cs="Arial"/>
                              <w:color w:val="000000"/>
                              <w:sz w:val="24"/>
                            </w:rPr>
                          </w:pPr>
                          <w:r w:rsidRPr="00AC4AE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2F3395" id="_x0000_t202" coordsize="21600,21600" o:spt="202" path="m,l,21600r21600,l21600,xe">
              <v:stroke joinstyle="miter"/>
              <v:path gradientshapeok="t" o:connecttype="rect"/>
            </v:shapetype>
            <v:shape id="MSIPCM97834936976d0dcca11f78ec" o:spid="_x0000_s1027"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textbox inset=",0,,0">
                <w:txbxContent>
                  <w:p w14:paraId="1DA15A6B" w14:textId="434900CF" w:rsidR="00AC4AEC" w:rsidRPr="00AC4AEC" w:rsidRDefault="00AC4AEC" w:rsidP="00AC4AEC">
                    <w:pPr>
                      <w:spacing w:after="0"/>
                      <w:jc w:val="center"/>
                      <w:rPr>
                        <w:rFonts w:ascii="Arial" w:hAnsi="Arial" w:cs="Arial"/>
                        <w:color w:val="000000"/>
                        <w:sz w:val="24"/>
                      </w:rPr>
                    </w:pPr>
                    <w:r w:rsidRPr="00AC4AEC">
                      <w:rPr>
                        <w:rFonts w:ascii="Arial" w:hAnsi="Arial" w:cs="Arial"/>
                        <w:color w:val="000000"/>
                        <w:sz w:val="24"/>
                      </w:rPr>
                      <w:t>OFFICIAL</w:t>
                    </w:r>
                  </w:p>
                </w:txbxContent>
              </v:textbox>
              <w10:wrap anchorx="page" anchory="page"/>
            </v:shape>
          </w:pict>
        </mc:Fallback>
      </mc:AlternateContent>
    </w:r>
    <w:r w:rsidR="00A5328C" w:rsidRPr="00F629C4">
      <w:rPr>
        <w:rFonts w:ascii="Arial" w:hAnsi="Arial" w:cs="Arial"/>
        <w:sz w:val="20"/>
        <w:szCs w:val="20"/>
      </w:rPr>
      <w:t>State Government of Victoria</w:t>
    </w:r>
  </w:p>
  <w:p w14:paraId="01187820" w14:textId="27FC2766" w:rsidR="00A5328C" w:rsidRPr="00F629C4" w:rsidRDefault="00124B78">
    <w:pPr>
      <w:pStyle w:val="Footer"/>
      <w:jc w:val="right"/>
      <w:rPr>
        <w:rFonts w:ascii="Arial" w:hAnsi="Arial" w:cs="Arial"/>
        <w:sz w:val="20"/>
        <w:szCs w:val="20"/>
      </w:rPr>
    </w:pPr>
    <w:r w:rsidRPr="00F629C4">
      <w:rPr>
        <w:rFonts w:ascii="Arial" w:hAnsi="Arial" w:cs="Arial"/>
        <w:sz w:val="20"/>
        <w:szCs w:val="20"/>
      </w:rPr>
      <w:t xml:space="preserve">Economic Contribution of Tourism to Victoria </w:t>
    </w:r>
    <w:r w:rsidR="00087CA3">
      <w:rPr>
        <w:rFonts w:ascii="Arial" w:hAnsi="Arial" w:cs="Arial"/>
        <w:sz w:val="20"/>
        <w:szCs w:val="20"/>
      </w:rPr>
      <w:t>2023-24</w:t>
    </w:r>
    <w:r w:rsidR="00AF7C41">
      <w:rPr>
        <w:rFonts w:ascii="Arial" w:hAnsi="Arial" w:cs="Arial"/>
        <w:sz w:val="20"/>
        <w:szCs w:val="20"/>
      </w:rPr>
      <w:t xml:space="preserve"> </w:t>
    </w:r>
    <w:r w:rsidR="00A5328C" w:rsidRPr="00F629C4">
      <w:rPr>
        <w:rFonts w:ascii="Arial" w:hAnsi="Arial" w:cs="Arial"/>
        <w:sz w:val="20"/>
        <w:szCs w:val="20"/>
      </w:rPr>
      <w:t xml:space="preserve">– </w:t>
    </w:r>
    <w:r w:rsidR="00256066" w:rsidRPr="00F629C4">
      <w:rPr>
        <w:rFonts w:ascii="Arial" w:hAnsi="Arial" w:cs="Arial"/>
        <w:sz w:val="20"/>
        <w:szCs w:val="20"/>
      </w:rPr>
      <w:t>(Optimised for digital accessibility)</w:t>
    </w:r>
    <w:r w:rsidR="00A5328C" w:rsidRPr="00F629C4">
      <w:rPr>
        <w:rFonts w:ascii="Arial" w:hAnsi="Arial" w:cs="Arial"/>
        <w:sz w:val="20"/>
        <w:szCs w:val="20"/>
      </w:rPr>
      <w:br/>
      <w:t xml:space="preserve">Page </w:t>
    </w:r>
    <w:sdt>
      <w:sdtPr>
        <w:rPr>
          <w:rFonts w:ascii="Arial" w:hAnsi="Arial" w:cs="Arial"/>
          <w:sz w:val="20"/>
          <w:szCs w:val="20"/>
        </w:rPr>
        <w:id w:val="-1493786459"/>
        <w:docPartObj>
          <w:docPartGallery w:val="Page Numbers (Bottom of Page)"/>
          <w:docPartUnique/>
        </w:docPartObj>
      </w:sdtPr>
      <w:sdtEndPr>
        <w:rPr>
          <w:noProof/>
        </w:rPr>
      </w:sdtEndPr>
      <w:sdtContent>
        <w:r w:rsidR="00A5328C" w:rsidRPr="00F629C4">
          <w:rPr>
            <w:rFonts w:ascii="Arial" w:hAnsi="Arial" w:cs="Arial"/>
            <w:sz w:val="20"/>
            <w:szCs w:val="20"/>
          </w:rPr>
          <w:fldChar w:fldCharType="begin"/>
        </w:r>
        <w:r w:rsidR="00A5328C" w:rsidRPr="00F629C4">
          <w:rPr>
            <w:rFonts w:ascii="Arial" w:hAnsi="Arial" w:cs="Arial"/>
            <w:sz w:val="20"/>
            <w:szCs w:val="20"/>
          </w:rPr>
          <w:instrText xml:space="preserve"> PAGE   \* MERGEFORMAT </w:instrText>
        </w:r>
        <w:r w:rsidR="00A5328C" w:rsidRPr="00F629C4">
          <w:rPr>
            <w:rFonts w:ascii="Arial" w:hAnsi="Arial" w:cs="Arial"/>
            <w:sz w:val="20"/>
            <w:szCs w:val="20"/>
          </w:rPr>
          <w:fldChar w:fldCharType="separate"/>
        </w:r>
        <w:r w:rsidR="00A5328C" w:rsidRPr="00F629C4">
          <w:rPr>
            <w:rFonts w:ascii="Arial" w:hAnsi="Arial" w:cs="Arial"/>
            <w:noProof/>
            <w:sz w:val="20"/>
            <w:szCs w:val="20"/>
          </w:rPr>
          <w:t>2</w:t>
        </w:r>
        <w:r w:rsidR="00A5328C" w:rsidRPr="00F629C4">
          <w:rPr>
            <w:rFonts w:ascii="Arial" w:hAnsi="Arial" w:cs="Arial"/>
            <w:noProof/>
            <w:sz w:val="20"/>
            <w:szCs w:val="20"/>
          </w:rPr>
          <w:fldChar w:fldCharType="end"/>
        </w:r>
      </w:sdtContent>
    </w:sdt>
  </w:p>
  <w:p w14:paraId="3984D39B" w14:textId="0E44D127" w:rsidR="00A5328C" w:rsidRDefault="00A5328C">
    <w:pPr>
      <w:pStyle w:val="Footer"/>
    </w:pPr>
  </w:p>
  <w:p w14:paraId="40BA486A" w14:textId="77777777" w:rsidR="00260290" w:rsidRDefault="002602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03B66" w14:textId="77777777" w:rsidR="000A70AF" w:rsidRDefault="000A70AF" w:rsidP="00D67AEC">
      <w:pPr>
        <w:spacing w:after="0" w:line="240" w:lineRule="auto"/>
      </w:pPr>
      <w:r>
        <w:separator/>
      </w:r>
    </w:p>
  </w:footnote>
  <w:footnote w:type="continuationSeparator" w:id="0">
    <w:p w14:paraId="12AFE7AA" w14:textId="77777777" w:rsidR="000A70AF" w:rsidRDefault="000A70AF" w:rsidP="00D67AEC">
      <w:pPr>
        <w:spacing w:after="0" w:line="240" w:lineRule="auto"/>
      </w:pPr>
      <w:r>
        <w:continuationSeparator/>
      </w:r>
    </w:p>
  </w:footnote>
  <w:footnote w:type="continuationNotice" w:id="1">
    <w:p w14:paraId="03DF57C5" w14:textId="77777777" w:rsidR="000A70AF" w:rsidRDefault="000A70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6622" w14:textId="7408074A" w:rsidR="00EA2EEB" w:rsidRDefault="00AC4AEC">
    <w:pPr>
      <w:pStyle w:val="Header"/>
    </w:pPr>
    <w:r>
      <w:rPr>
        <w:noProof/>
      </w:rPr>
      <mc:AlternateContent>
        <mc:Choice Requires="wps">
          <w:drawing>
            <wp:anchor distT="0" distB="0" distL="114300" distR="114300" simplePos="0" relativeHeight="251663360" behindDoc="0" locked="0" layoutInCell="0" allowOverlap="1" wp14:anchorId="730C8E9A" wp14:editId="76A6CADF">
              <wp:simplePos x="0" y="0"/>
              <wp:positionH relativeFrom="page">
                <wp:posOffset>0</wp:posOffset>
              </wp:positionH>
              <wp:positionV relativeFrom="page">
                <wp:posOffset>190500</wp:posOffset>
              </wp:positionV>
              <wp:extent cx="7560310" cy="252095"/>
              <wp:effectExtent l="0" t="0" r="0" b="14605"/>
              <wp:wrapNone/>
              <wp:docPr id="2" name="MSIPCMe8274760aea500f454e0bda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F76B13" w14:textId="6DCEF489" w:rsidR="00AC4AEC" w:rsidRPr="00AC4AEC" w:rsidRDefault="00AC4AEC" w:rsidP="00AC4AEC">
                          <w:pPr>
                            <w:spacing w:after="0"/>
                            <w:jc w:val="center"/>
                            <w:rPr>
                              <w:rFonts w:ascii="Arial" w:hAnsi="Arial" w:cs="Arial"/>
                              <w:color w:val="000000"/>
                              <w:sz w:val="24"/>
                            </w:rPr>
                          </w:pPr>
                          <w:r w:rsidRPr="00AC4AEC">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0C8E9A" id="_x0000_t202" coordsize="21600,21600" o:spt="202" path="m,l,21600r21600,l21600,xe">
              <v:stroke joinstyle="miter"/>
              <v:path gradientshapeok="t" o:connecttype="rect"/>
            </v:shapetype>
            <v:shape id="MSIPCMe8274760aea500f454e0bda4"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8F76B13" w14:textId="6DCEF489" w:rsidR="00AC4AEC" w:rsidRPr="00AC4AEC" w:rsidRDefault="00AC4AEC" w:rsidP="00AC4AEC">
                    <w:pPr>
                      <w:spacing w:after="0"/>
                      <w:jc w:val="center"/>
                      <w:rPr>
                        <w:rFonts w:ascii="Arial" w:hAnsi="Arial" w:cs="Arial"/>
                        <w:color w:val="000000"/>
                        <w:sz w:val="24"/>
                      </w:rPr>
                    </w:pPr>
                    <w:r w:rsidRPr="00AC4AEC">
                      <w:rPr>
                        <w:rFonts w:ascii="Arial" w:hAnsi="Arial" w:cs="Arial"/>
                        <w:color w:val="000000"/>
                        <w:sz w:val="24"/>
                      </w:rPr>
                      <w:t>OFFICIAL</w:t>
                    </w:r>
                  </w:p>
                </w:txbxContent>
              </v:textbox>
              <w10:wrap anchorx="page" anchory="page"/>
            </v:shape>
          </w:pict>
        </mc:Fallback>
      </mc:AlternateContent>
    </w:r>
  </w:p>
  <w:p w14:paraId="3FCFA387" w14:textId="77777777" w:rsidR="00260290" w:rsidRDefault="002602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63C6"/>
    <w:multiLevelType w:val="hybridMultilevel"/>
    <w:tmpl w:val="8C562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10E5D"/>
    <w:multiLevelType w:val="hybridMultilevel"/>
    <w:tmpl w:val="7CB4A2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301654"/>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E1E0C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951A8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8A743D4"/>
    <w:multiLevelType w:val="multilevel"/>
    <w:tmpl w:val="AAA404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7837D0"/>
    <w:multiLevelType w:val="hybridMultilevel"/>
    <w:tmpl w:val="E7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1A32BB"/>
    <w:multiLevelType w:val="hybridMultilevel"/>
    <w:tmpl w:val="C7FED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974E91"/>
    <w:multiLevelType w:val="hybridMultilevel"/>
    <w:tmpl w:val="C79E9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5943974">
    <w:abstractNumId w:val="6"/>
  </w:num>
  <w:num w:numId="2" w16cid:durableId="1958488177">
    <w:abstractNumId w:val="8"/>
  </w:num>
  <w:num w:numId="3" w16cid:durableId="1835336290">
    <w:abstractNumId w:val="2"/>
  </w:num>
  <w:num w:numId="4" w16cid:durableId="559093697">
    <w:abstractNumId w:val="3"/>
  </w:num>
  <w:num w:numId="5" w16cid:durableId="1232079142">
    <w:abstractNumId w:val="4"/>
  </w:num>
  <w:num w:numId="6" w16cid:durableId="1349287126">
    <w:abstractNumId w:val="0"/>
  </w:num>
  <w:num w:numId="7" w16cid:durableId="1462453403">
    <w:abstractNumId w:val="7"/>
  </w:num>
  <w:num w:numId="8" w16cid:durableId="1862354207">
    <w:abstractNumId w:val="1"/>
  </w:num>
  <w:num w:numId="9" w16cid:durableId="3596740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44"/>
    <w:rsid w:val="0000290D"/>
    <w:rsid w:val="00002FD3"/>
    <w:rsid w:val="00003701"/>
    <w:rsid w:val="00003D2A"/>
    <w:rsid w:val="000061B0"/>
    <w:rsid w:val="00006800"/>
    <w:rsid w:val="00011988"/>
    <w:rsid w:val="00012675"/>
    <w:rsid w:val="00012C97"/>
    <w:rsid w:val="000165C6"/>
    <w:rsid w:val="00021E39"/>
    <w:rsid w:val="00026057"/>
    <w:rsid w:val="00032EE3"/>
    <w:rsid w:val="00046FD1"/>
    <w:rsid w:val="000473ED"/>
    <w:rsid w:val="00052FF8"/>
    <w:rsid w:val="000549E0"/>
    <w:rsid w:val="000558AB"/>
    <w:rsid w:val="00055971"/>
    <w:rsid w:val="00056AE2"/>
    <w:rsid w:val="00056B7A"/>
    <w:rsid w:val="00060CE3"/>
    <w:rsid w:val="0006201A"/>
    <w:rsid w:val="00062115"/>
    <w:rsid w:val="0006336B"/>
    <w:rsid w:val="00067708"/>
    <w:rsid w:val="000710FB"/>
    <w:rsid w:val="00075A77"/>
    <w:rsid w:val="000761D2"/>
    <w:rsid w:val="000765A0"/>
    <w:rsid w:val="000774ED"/>
    <w:rsid w:val="00080FD3"/>
    <w:rsid w:val="00084A5F"/>
    <w:rsid w:val="00086B6D"/>
    <w:rsid w:val="00087CA3"/>
    <w:rsid w:val="00095CD8"/>
    <w:rsid w:val="00097447"/>
    <w:rsid w:val="000A0865"/>
    <w:rsid w:val="000A2765"/>
    <w:rsid w:val="000A2EDC"/>
    <w:rsid w:val="000A2EE8"/>
    <w:rsid w:val="000A4909"/>
    <w:rsid w:val="000A70AF"/>
    <w:rsid w:val="000A71E8"/>
    <w:rsid w:val="000B7918"/>
    <w:rsid w:val="000C1B24"/>
    <w:rsid w:val="000C2AAD"/>
    <w:rsid w:val="000C33BA"/>
    <w:rsid w:val="000C3914"/>
    <w:rsid w:val="000D15F7"/>
    <w:rsid w:val="000D69B7"/>
    <w:rsid w:val="000D6AC1"/>
    <w:rsid w:val="000E19EE"/>
    <w:rsid w:val="000E2A50"/>
    <w:rsid w:val="000E3356"/>
    <w:rsid w:val="000E42CE"/>
    <w:rsid w:val="000E4962"/>
    <w:rsid w:val="000E7245"/>
    <w:rsid w:val="000E7C16"/>
    <w:rsid w:val="000F4E5D"/>
    <w:rsid w:val="000F696D"/>
    <w:rsid w:val="00100A54"/>
    <w:rsid w:val="00101572"/>
    <w:rsid w:val="0010326B"/>
    <w:rsid w:val="0010489F"/>
    <w:rsid w:val="0010532C"/>
    <w:rsid w:val="00105354"/>
    <w:rsid w:val="001074CE"/>
    <w:rsid w:val="001075A3"/>
    <w:rsid w:val="001111CF"/>
    <w:rsid w:val="00111D9E"/>
    <w:rsid w:val="001168F4"/>
    <w:rsid w:val="00122D91"/>
    <w:rsid w:val="00124B78"/>
    <w:rsid w:val="00125648"/>
    <w:rsid w:val="001273E2"/>
    <w:rsid w:val="00140ADE"/>
    <w:rsid w:val="00142E69"/>
    <w:rsid w:val="001445C1"/>
    <w:rsid w:val="00147288"/>
    <w:rsid w:val="00147689"/>
    <w:rsid w:val="00147707"/>
    <w:rsid w:val="00147B63"/>
    <w:rsid w:val="00152241"/>
    <w:rsid w:val="001527A3"/>
    <w:rsid w:val="00157FEE"/>
    <w:rsid w:val="00162EDF"/>
    <w:rsid w:val="0016420B"/>
    <w:rsid w:val="00164D67"/>
    <w:rsid w:val="00167C75"/>
    <w:rsid w:val="00171925"/>
    <w:rsid w:val="00173192"/>
    <w:rsid w:val="0018091B"/>
    <w:rsid w:val="001849BC"/>
    <w:rsid w:val="00185C29"/>
    <w:rsid w:val="00190733"/>
    <w:rsid w:val="00191B9D"/>
    <w:rsid w:val="00193506"/>
    <w:rsid w:val="00196CDE"/>
    <w:rsid w:val="00196D10"/>
    <w:rsid w:val="0019717B"/>
    <w:rsid w:val="001A11A3"/>
    <w:rsid w:val="001A1CD6"/>
    <w:rsid w:val="001A249B"/>
    <w:rsid w:val="001A41A4"/>
    <w:rsid w:val="001A44CA"/>
    <w:rsid w:val="001A752D"/>
    <w:rsid w:val="001B0A6C"/>
    <w:rsid w:val="001B2A1A"/>
    <w:rsid w:val="001B7A72"/>
    <w:rsid w:val="001C0585"/>
    <w:rsid w:val="001C093D"/>
    <w:rsid w:val="001D062B"/>
    <w:rsid w:val="001D17E6"/>
    <w:rsid w:val="001D3D65"/>
    <w:rsid w:val="001E05EB"/>
    <w:rsid w:val="001E0D28"/>
    <w:rsid w:val="001E5213"/>
    <w:rsid w:val="001E77E2"/>
    <w:rsid w:val="001F6807"/>
    <w:rsid w:val="001F7FD2"/>
    <w:rsid w:val="00204B49"/>
    <w:rsid w:val="002073B5"/>
    <w:rsid w:val="00207E10"/>
    <w:rsid w:val="00214F09"/>
    <w:rsid w:val="002150DE"/>
    <w:rsid w:val="002205E0"/>
    <w:rsid w:val="00221948"/>
    <w:rsid w:val="002224B5"/>
    <w:rsid w:val="002231DC"/>
    <w:rsid w:val="00224973"/>
    <w:rsid w:val="00225081"/>
    <w:rsid w:val="00227977"/>
    <w:rsid w:val="00235CA9"/>
    <w:rsid w:val="00235D25"/>
    <w:rsid w:val="00236172"/>
    <w:rsid w:val="00236E43"/>
    <w:rsid w:val="0024437F"/>
    <w:rsid w:val="00244D55"/>
    <w:rsid w:val="002467EE"/>
    <w:rsid w:val="00246A17"/>
    <w:rsid w:val="00246E65"/>
    <w:rsid w:val="00255E50"/>
    <w:rsid w:val="00256066"/>
    <w:rsid w:val="00257824"/>
    <w:rsid w:val="00260290"/>
    <w:rsid w:val="00260870"/>
    <w:rsid w:val="0026546D"/>
    <w:rsid w:val="00270B69"/>
    <w:rsid w:val="00277D3C"/>
    <w:rsid w:val="002810B6"/>
    <w:rsid w:val="00281382"/>
    <w:rsid w:val="002815C2"/>
    <w:rsid w:val="00291737"/>
    <w:rsid w:val="002A0CA5"/>
    <w:rsid w:val="002A37E2"/>
    <w:rsid w:val="002A3B92"/>
    <w:rsid w:val="002A44E2"/>
    <w:rsid w:val="002A4BD7"/>
    <w:rsid w:val="002A6E5A"/>
    <w:rsid w:val="002B1009"/>
    <w:rsid w:val="002B408C"/>
    <w:rsid w:val="002B4D8D"/>
    <w:rsid w:val="002B675D"/>
    <w:rsid w:val="002B6AAE"/>
    <w:rsid w:val="002B79AE"/>
    <w:rsid w:val="002C4598"/>
    <w:rsid w:val="002C5BA9"/>
    <w:rsid w:val="002C6718"/>
    <w:rsid w:val="002C7246"/>
    <w:rsid w:val="002C73D6"/>
    <w:rsid w:val="002D0CB4"/>
    <w:rsid w:val="002D38BB"/>
    <w:rsid w:val="002D436E"/>
    <w:rsid w:val="002D4626"/>
    <w:rsid w:val="002D5E44"/>
    <w:rsid w:val="002E2098"/>
    <w:rsid w:val="002E42C5"/>
    <w:rsid w:val="002F07D1"/>
    <w:rsid w:val="002F0A29"/>
    <w:rsid w:val="002F37A3"/>
    <w:rsid w:val="002F3D81"/>
    <w:rsid w:val="002F3E3E"/>
    <w:rsid w:val="002F5167"/>
    <w:rsid w:val="002F5DF5"/>
    <w:rsid w:val="0030155F"/>
    <w:rsid w:val="00304879"/>
    <w:rsid w:val="0030550B"/>
    <w:rsid w:val="00306F7F"/>
    <w:rsid w:val="003070EC"/>
    <w:rsid w:val="00307AE7"/>
    <w:rsid w:val="00307FF0"/>
    <w:rsid w:val="003108DF"/>
    <w:rsid w:val="00313271"/>
    <w:rsid w:val="00313FB0"/>
    <w:rsid w:val="003161EA"/>
    <w:rsid w:val="003174F1"/>
    <w:rsid w:val="0031762A"/>
    <w:rsid w:val="00325CB6"/>
    <w:rsid w:val="00332B19"/>
    <w:rsid w:val="00333F69"/>
    <w:rsid w:val="0033450F"/>
    <w:rsid w:val="00336112"/>
    <w:rsid w:val="00344E09"/>
    <w:rsid w:val="00345C6D"/>
    <w:rsid w:val="00351A67"/>
    <w:rsid w:val="00351B0E"/>
    <w:rsid w:val="003548A9"/>
    <w:rsid w:val="0035675C"/>
    <w:rsid w:val="00357B28"/>
    <w:rsid w:val="00360467"/>
    <w:rsid w:val="00362459"/>
    <w:rsid w:val="00366F38"/>
    <w:rsid w:val="00367330"/>
    <w:rsid w:val="0036779A"/>
    <w:rsid w:val="003710B8"/>
    <w:rsid w:val="003714AE"/>
    <w:rsid w:val="00372768"/>
    <w:rsid w:val="0037383C"/>
    <w:rsid w:val="00374030"/>
    <w:rsid w:val="00374898"/>
    <w:rsid w:val="00375DD4"/>
    <w:rsid w:val="003834DD"/>
    <w:rsid w:val="00391425"/>
    <w:rsid w:val="00391499"/>
    <w:rsid w:val="00391B3D"/>
    <w:rsid w:val="00393599"/>
    <w:rsid w:val="003962D7"/>
    <w:rsid w:val="003A0773"/>
    <w:rsid w:val="003A0DAF"/>
    <w:rsid w:val="003A15EC"/>
    <w:rsid w:val="003A71F6"/>
    <w:rsid w:val="003B22E8"/>
    <w:rsid w:val="003B44DB"/>
    <w:rsid w:val="003B5D55"/>
    <w:rsid w:val="003B7417"/>
    <w:rsid w:val="003C43C6"/>
    <w:rsid w:val="003C49F6"/>
    <w:rsid w:val="003C6FD6"/>
    <w:rsid w:val="003C7477"/>
    <w:rsid w:val="003C7B6F"/>
    <w:rsid w:val="003D0D7C"/>
    <w:rsid w:val="003D404B"/>
    <w:rsid w:val="003D434E"/>
    <w:rsid w:val="003D6DE1"/>
    <w:rsid w:val="003E743B"/>
    <w:rsid w:val="003F0881"/>
    <w:rsid w:val="003F1052"/>
    <w:rsid w:val="003F19EE"/>
    <w:rsid w:val="003F2704"/>
    <w:rsid w:val="003F5D4D"/>
    <w:rsid w:val="003F6607"/>
    <w:rsid w:val="003F698F"/>
    <w:rsid w:val="003F7D30"/>
    <w:rsid w:val="0040187A"/>
    <w:rsid w:val="004023CA"/>
    <w:rsid w:val="00402B3E"/>
    <w:rsid w:val="00405FE3"/>
    <w:rsid w:val="00407F70"/>
    <w:rsid w:val="004104EC"/>
    <w:rsid w:val="00417523"/>
    <w:rsid w:val="004230A2"/>
    <w:rsid w:val="00425BDC"/>
    <w:rsid w:val="00431024"/>
    <w:rsid w:val="00431C7C"/>
    <w:rsid w:val="00431E0A"/>
    <w:rsid w:val="00433344"/>
    <w:rsid w:val="004336B9"/>
    <w:rsid w:val="00440E5F"/>
    <w:rsid w:val="00443803"/>
    <w:rsid w:val="0044460A"/>
    <w:rsid w:val="00450394"/>
    <w:rsid w:val="00450619"/>
    <w:rsid w:val="00451444"/>
    <w:rsid w:val="00457D06"/>
    <w:rsid w:val="004619E5"/>
    <w:rsid w:val="00463138"/>
    <w:rsid w:val="0046465E"/>
    <w:rsid w:val="00464E8D"/>
    <w:rsid w:val="00465CEB"/>
    <w:rsid w:val="00466CC0"/>
    <w:rsid w:val="004704E1"/>
    <w:rsid w:val="00472F67"/>
    <w:rsid w:val="00480970"/>
    <w:rsid w:val="0048129B"/>
    <w:rsid w:val="00482117"/>
    <w:rsid w:val="00482C5B"/>
    <w:rsid w:val="00482D7D"/>
    <w:rsid w:val="004842A2"/>
    <w:rsid w:val="004923D9"/>
    <w:rsid w:val="004930FA"/>
    <w:rsid w:val="0049762D"/>
    <w:rsid w:val="00497ED6"/>
    <w:rsid w:val="00497F51"/>
    <w:rsid w:val="004A0B97"/>
    <w:rsid w:val="004A114F"/>
    <w:rsid w:val="004A2D9D"/>
    <w:rsid w:val="004A3E17"/>
    <w:rsid w:val="004B054C"/>
    <w:rsid w:val="004C4183"/>
    <w:rsid w:val="004C6A3B"/>
    <w:rsid w:val="004D4A46"/>
    <w:rsid w:val="004E159A"/>
    <w:rsid w:val="004E1A8B"/>
    <w:rsid w:val="004E1E3A"/>
    <w:rsid w:val="004E3BCD"/>
    <w:rsid w:val="004E57BA"/>
    <w:rsid w:val="004E68DC"/>
    <w:rsid w:val="004F1B6E"/>
    <w:rsid w:val="004F4A77"/>
    <w:rsid w:val="004F5D1F"/>
    <w:rsid w:val="004F7D37"/>
    <w:rsid w:val="004F7DE9"/>
    <w:rsid w:val="00501B5F"/>
    <w:rsid w:val="005020C4"/>
    <w:rsid w:val="0050447C"/>
    <w:rsid w:val="0050589F"/>
    <w:rsid w:val="0050623E"/>
    <w:rsid w:val="00514AFF"/>
    <w:rsid w:val="0051561A"/>
    <w:rsid w:val="005203BE"/>
    <w:rsid w:val="0052419F"/>
    <w:rsid w:val="005278F6"/>
    <w:rsid w:val="00531DF3"/>
    <w:rsid w:val="00532553"/>
    <w:rsid w:val="005340DA"/>
    <w:rsid w:val="00540325"/>
    <w:rsid w:val="00540B46"/>
    <w:rsid w:val="00542C10"/>
    <w:rsid w:val="00546EE4"/>
    <w:rsid w:val="005516D8"/>
    <w:rsid w:val="00552E7B"/>
    <w:rsid w:val="00553678"/>
    <w:rsid w:val="00564E1E"/>
    <w:rsid w:val="00566AC2"/>
    <w:rsid w:val="00567F58"/>
    <w:rsid w:val="00572B39"/>
    <w:rsid w:val="00573F3C"/>
    <w:rsid w:val="00573F72"/>
    <w:rsid w:val="0057622C"/>
    <w:rsid w:val="00576C98"/>
    <w:rsid w:val="00577390"/>
    <w:rsid w:val="00590C5F"/>
    <w:rsid w:val="00594467"/>
    <w:rsid w:val="00594AFF"/>
    <w:rsid w:val="005958ED"/>
    <w:rsid w:val="00595D7A"/>
    <w:rsid w:val="005960E5"/>
    <w:rsid w:val="005B1C66"/>
    <w:rsid w:val="005B5FDE"/>
    <w:rsid w:val="005B702E"/>
    <w:rsid w:val="005C49C3"/>
    <w:rsid w:val="005C4B8D"/>
    <w:rsid w:val="005C6DB7"/>
    <w:rsid w:val="005C78A5"/>
    <w:rsid w:val="005D173D"/>
    <w:rsid w:val="005D28DB"/>
    <w:rsid w:val="005D3639"/>
    <w:rsid w:val="005D5005"/>
    <w:rsid w:val="005D7D5F"/>
    <w:rsid w:val="005E0914"/>
    <w:rsid w:val="005E24DD"/>
    <w:rsid w:val="005E50A2"/>
    <w:rsid w:val="005F1515"/>
    <w:rsid w:val="005F24F1"/>
    <w:rsid w:val="005F33E2"/>
    <w:rsid w:val="005F3AF7"/>
    <w:rsid w:val="006020A0"/>
    <w:rsid w:val="00602BE7"/>
    <w:rsid w:val="0060633A"/>
    <w:rsid w:val="006121D1"/>
    <w:rsid w:val="00612308"/>
    <w:rsid w:val="00614C65"/>
    <w:rsid w:val="00620273"/>
    <w:rsid w:val="006209AB"/>
    <w:rsid w:val="006213D4"/>
    <w:rsid w:val="006240B1"/>
    <w:rsid w:val="00625229"/>
    <w:rsid w:val="00625FD0"/>
    <w:rsid w:val="006300AB"/>
    <w:rsid w:val="006307B2"/>
    <w:rsid w:val="00630893"/>
    <w:rsid w:val="00631FEC"/>
    <w:rsid w:val="00635282"/>
    <w:rsid w:val="006359BC"/>
    <w:rsid w:val="006424D9"/>
    <w:rsid w:val="00645532"/>
    <w:rsid w:val="0065220D"/>
    <w:rsid w:val="0065381A"/>
    <w:rsid w:val="00660E8C"/>
    <w:rsid w:val="00662D4A"/>
    <w:rsid w:val="006636A0"/>
    <w:rsid w:val="0066379A"/>
    <w:rsid w:val="0066440D"/>
    <w:rsid w:val="006647BD"/>
    <w:rsid w:val="00666F73"/>
    <w:rsid w:val="0067416F"/>
    <w:rsid w:val="00675AA8"/>
    <w:rsid w:val="00684B24"/>
    <w:rsid w:val="00685710"/>
    <w:rsid w:val="00685A38"/>
    <w:rsid w:val="00690F24"/>
    <w:rsid w:val="00691F13"/>
    <w:rsid w:val="006A00E6"/>
    <w:rsid w:val="006A4BA8"/>
    <w:rsid w:val="006A5F81"/>
    <w:rsid w:val="006A674B"/>
    <w:rsid w:val="006A79B0"/>
    <w:rsid w:val="006B0A79"/>
    <w:rsid w:val="006B560E"/>
    <w:rsid w:val="006B6009"/>
    <w:rsid w:val="006C6768"/>
    <w:rsid w:val="006C6AD5"/>
    <w:rsid w:val="006D44F8"/>
    <w:rsid w:val="006E08DB"/>
    <w:rsid w:val="006E0C91"/>
    <w:rsid w:val="006E655E"/>
    <w:rsid w:val="006F19F8"/>
    <w:rsid w:val="006F1C7B"/>
    <w:rsid w:val="006F2BF6"/>
    <w:rsid w:val="006F5A9A"/>
    <w:rsid w:val="006F6C0F"/>
    <w:rsid w:val="00705AF8"/>
    <w:rsid w:val="00706C3A"/>
    <w:rsid w:val="00720396"/>
    <w:rsid w:val="0072122B"/>
    <w:rsid w:val="00722D24"/>
    <w:rsid w:val="007252D4"/>
    <w:rsid w:val="00727A06"/>
    <w:rsid w:val="00732524"/>
    <w:rsid w:val="00736429"/>
    <w:rsid w:val="00736E3D"/>
    <w:rsid w:val="00740611"/>
    <w:rsid w:val="007448F5"/>
    <w:rsid w:val="007546C9"/>
    <w:rsid w:val="00756841"/>
    <w:rsid w:val="007616CC"/>
    <w:rsid w:val="00765649"/>
    <w:rsid w:val="0076762E"/>
    <w:rsid w:val="00767855"/>
    <w:rsid w:val="00770FBF"/>
    <w:rsid w:val="007759BC"/>
    <w:rsid w:val="00777791"/>
    <w:rsid w:val="007813BA"/>
    <w:rsid w:val="00782688"/>
    <w:rsid w:val="00785809"/>
    <w:rsid w:val="0078635A"/>
    <w:rsid w:val="0078689D"/>
    <w:rsid w:val="00790FF5"/>
    <w:rsid w:val="00796905"/>
    <w:rsid w:val="007B328C"/>
    <w:rsid w:val="007B5AD5"/>
    <w:rsid w:val="007B6792"/>
    <w:rsid w:val="007B7A98"/>
    <w:rsid w:val="007C041B"/>
    <w:rsid w:val="007C51F9"/>
    <w:rsid w:val="007D0A09"/>
    <w:rsid w:val="007D68C4"/>
    <w:rsid w:val="007D7BB2"/>
    <w:rsid w:val="007E0827"/>
    <w:rsid w:val="007E1818"/>
    <w:rsid w:val="007E1C9E"/>
    <w:rsid w:val="007E4E4C"/>
    <w:rsid w:val="007F142F"/>
    <w:rsid w:val="007F46B3"/>
    <w:rsid w:val="007F4C0E"/>
    <w:rsid w:val="007F69A8"/>
    <w:rsid w:val="007F787C"/>
    <w:rsid w:val="008015B5"/>
    <w:rsid w:val="00802822"/>
    <w:rsid w:val="00804096"/>
    <w:rsid w:val="00805AE9"/>
    <w:rsid w:val="00806123"/>
    <w:rsid w:val="00806C8C"/>
    <w:rsid w:val="00807B1C"/>
    <w:rsid w:val="00810BEF"/>
    <w:rsid w:val="008112D2"/>
    <w:rsid w:val="008116EA"/>
    <w:rsid w:val="0081651C"/>
    <w:rsid w:val="00816BAD"/>
    <w:rsid w:val="00822E93"/>
    <w:rsid w:val="00823502"/>
    <w:rsid w:val="00823CE5"/>
    <w:rsid w:val="0082548C"/>
    <w:rsid w:val="00827E20"/>
    <w:rsid w:val="0083026A"/>
    <w:rsid w:val="00832AF7"/>
    <w:rsid w:val="00833B65"/>
    <w:rsid w:val="00840323"/>
    <w:rsid w:val="00842370"/>
    <w:rsid w:val="00844435"/>
    <w:rsid w:val="00844E57"/>
    <w:rsid w:val="008466E5"/>
    <w:rsid w:val="00847048"/>
    <w:rsid w:val="00850EFB"/>
    <w:rsid w:val="0085251E"/>
    <w:rsid w:val="00853AFA"/>
    <w:rsid w:val="0086024A"/>
    <w:rsid w:val="00861E07"/>
    <w:rsid w:val="00864874"/>
    <w:rsid w:val="00872329"/>
    <w:rsid w:val="00874AFB"/>
    <w:rsid w:val="00877B8E"/>
    <w:rsid w:val="00877C40"/>
    <w:rsid w:val="008809DF"/>
    <w:rsid w:val="0088215B"/>
    <w:rsid w:val="00883094"/>
    <w:rsid w:val="008908C0"/>
    <w:rsid w:val="00894E59"/>
    <w:rsid w:val="00895243"/>
    <w:rsid w:val="008958DF"/>
    <w:rsid w:val="008A25F7"/>
    <w:rsid w:val="008A440C"/>
    <w:rsid w:val="008A4CB1"/>
    <w:rsid w:val="008A5050"/>
    <w:rsid w:val="008A50A6"/>
    <w:rsid w:val="008B0B12"/>
    <w:rsid w:val="008B0B2C"/>
    <w:rsid w:val="008B7105"/>
    <w:rsid w:val="008C20B1"/>
    <w:rsid w:val="008C65B8"/>
    <w:rsid w:val="008C779B"/>
    <w:rsid w:val="008D1AD8"/>
    <w:rsid w:val="008D2D0D"/>
    <w:rsid w:val="008D63CE"/>
    <w:rsid w:val="008E2561"/>
    <w:rsid w:val="008E6F78"/>
    <w:rsid w:val="008F0908"/>
    <w:rsid w:val="008F197B"/>
    <w:rsid w:val="008F52B0"/>
    <w:rsid w:val="008F679E"/>
    <w:rsid w:val="008F67BD"/>
    <w:rsid w:val="008F74FD"/>
    <w:rsid w:val="009008B6"/>
    <w:rsid w:val="00905836"/>
    <w:rsid w:val="00910B0D"/>
    <w:rsid w:val="009139C2"/>
    <w:rsid w:val="00916B94"/>
    <w:rsid w:val="00921421"/>
    <w:rsid w:val="0093188C"/>
    <w:rsid w:val="00931D4A"/>
    <w:rsid w:val="00934654"/>
    <w:rsid w:val="00934BFB"/>
    <w:rsid w:val="00934F88"/>
    <w:rsid w:val="0094290F"/>
    <w:rsid w:val="00945774"/>
    <w:rsid w:val="0094780F"/>
    <w:rsid w:val="00952701"/>
    <w:rsid w:val="00952BE1"/>
    <w:rsid w:val="00952DF3"/>
    <w:rsid w:val="0095422A"/>
    <w:rsid w:val="00955DA7"/>
    <w:rsid w:val="009564DE"/>
    <w:rsid w:val="00956E4E"/>
    <w:rsid w:val="009576C1"/>
    <w:rsid w:val="00967CC8"/>
    <w:rsid w:val="0097196A"/>
    <w:rsid w:val="00974A1C"/>
    <w:rsid w:val="00974BD5"/>
    <w:rsid w:val="00986705"/>
    <w:rsid w:val="00987412"/>
    <w:rsid w:val="00987B4D"/>
    <w:rsid w:val="00987ECB"/>
    <w:rsid w:val="009900B4"/>
    <w:rsid w:val="0099632B"/>
    <w:rsid w:val="00997CD8"/>
    <w:rsid w:val="009A0727"/>
    <w:rsid w:val="009B3F31"/>
    <w:rsid w:val="009B56A6"/>
    <w:rsid w:val="009C0305"/>
    <w:rsid w:val="009C51C6"/>
    <w:rsid w:val="009D14A6"/>
    <w:rsid w:val="009D3E82"/>
    <w:rsid w:val="009D6C83"/>
    <w:rsid w:val="009E1D74"/>
    <w:rsid w:val="009E1F07"/>
    <w:rsid w:val="009E5663"/>
    <w:rsid w:val="009F135B"/>
    <w:rsid w:val="009F1C0B"/>
    <w:rsid w:val="009F21F7"/>
    <w:rsid w:val="009F327D"/>
    <w:rsid w:val="009F49E8"/>
    <w:rsid w:val="00A000D3"/>
    <w:rsid w:val="00A05A0C"/>
    <w:rsid w:val="00A06242"/>
    <w:rsid w:val="00A079D8"/>
    <w:rsid w:val="00A118E9"/>
    <w:rsid w:val="00A11C5C"/>
    <w:rsid w:val="00A16365"/>
    <w:rsid w:val="00A17952"/>
    <w:rsid w:val="00A17BE9"/>
    <w:rsid w:val="00A2187B"/>
    <w:rsid w:val="00A21BC7"/>
    <w:rsid w:val="00A24179"/>
    <w:rsid w:val="00A30348"/>
    <w:rsid w:val="00A33697"/>
    <w:rsid w:val="00A34DBD"/>
    <w:rsid w:val="00A42A07"/>
    <w:rsid w:val="00A50FDA"/>
    <w:rsid w:val="00A5328C"/>
    <w:rsid w:val="00A566F6"/>
    <w:rsid w:val="00A57ACA"/>
    <w:rsid w:val="00A6427F"/>
    <w:rsid w:val="00A65001"/>
    <w:rsid w:val="00A71CCE"/>
    <w:rsid w:val="00A72773"/>
    <w:rsid w:val="00A75381"/>
    <w:rsid w:val="00A75F8F"/>
    <w:rsid w:val="00A762B9"/>
    <w:rsid w:val="00A83BE5"/>
    <w:rsid w:val="00A83E3C"/>
    <w:rsid w:val="00A83EF7"/>
    <w:rsid w:val="00A90D84"/>
    <w:rsid w:val="00A91099"/>
    <w:rsid w:val="00A9552B"/>
    <w:rsid w:val="00A95654"/>
    <w:rsid w:val="00A96C7F"/>
    <w:rsid w:val="00AA0C2B"/>
    <w:rsid w:val="00AA3202"/>
    <w:rsid w:val="00AA395F"/>
    <w:rsid w:val="00AA5585"/>
    <w:rsid w:val="00AA773B"/>
    <w:rsid w:val="00AA78EE"/>
    <w:rsid w:val="00AA7D68"/>
    <w:rsid w:val="00AB17CA"/>
    <w:rsid w:val="00AB3C5D"/>
    <w:rsid w:val="00AB7222"/>
    <w:rsid w:val="00AC154C"/>
    <w:rsid w:val="00AC4245"/>
    <w:rsid w:val="00AC4AEC"/>
    <w:rsid w:val="00AC7BAF"/>
    <w:rsid w:val="00AD3DA0"/>
    <w:rsid w:val="00AE639E"/>
    <w:rsid w:val="00AF3450"/>
    <w:rsid w:val="00AF3DB5"/>
    <w:rsid w:val="00AF45DF"/>
    <w:rsid w:val="00AF5F8C"/>
    <w:rsid w:val="00AF7C41"/>
    <w:rsid w:val="00B01BC6"/>
    <w:rsid w:val="00B04658"/>
    <w:rsid w:val="00B07180"/>
    <w:rsid w:val="00B12FE3"/>
    <w:rsid w:val="00B16890"/>
    <w:rsid w:val="00B172E1"/>
    <w:rsid w:val="00B23BFF"/>
    <w:rsid w:val="00B23D1C"/>
    <w:rsid w:val="00B247BB"/>
    <w:rsid w:val="00B262DC"/>
    <w:rsid w:val="00B31BC3"/>
    <w:rsid w:val="00B37EC5"/>
    <w:rsid w:val="00B40B4A"/>
    <w:rsid w:val="00B40BBF"/>
    <w:rsid w:val="00B4289C"/>
    <w:rsid w:val="00B452DD"/>
    <w:rsid w:val="00B46E42"/>
    <w:rsid w:val="00B47429"/>
    <w:rsid w:val="00B50B90"/>
    <w:rsid w:val="00B53961"/>
    <w:rsid w:val="00B57834"/>
    <w:rsid w:val="00B64C16"/>
    <w:rsid w:val="00B653E3"/>
    <w:rsid w:val="00B6562B"/>
    <w:rsid w:val="00B67538"/>
    <w:rsid w:val="00B82E1F"/>
    <w:rsid w:val="00B90C37"/>
    <w:rsid w:val="00B952E3"/>
    <w:rsid w:val="00B95988"/>
    <w:rsid w:val="00B97F83"/>
    <w:rsid w:val="00BA3AB1"/>
    <w:rsid w:val="00BA4598"/>
    <w:rsid w:val="00BA463F"/>
    <w:rsid w:val="00BA75DB"/>
    <w:rsid w:val="00BA7901"/>
    <w:rsid w:val="00BB0E75"/>
    <w:rsid w:val="00BC03FC"/>
    <w:rsid w:val="00BC1BE9"/>
    <w:rsid w:val="00BC3017"/>
    <w:rsid w:val="00BC5020"/>
    <w:rsid w:val="00BC556B"/>
    <w:rsid w:val="00BD2034"/>
    <w:rsid w:val="00BD5091"/>
    <w:rsid w:val="00BD57F3"/>
    <w:rsid w:val="00BE2DD6"/>
    <w:rsid w:val="00BE4996"/>
    <w:rsid w:val="00BE6B93"/>
    <w:rsid w:val="00BF0FD2"/>
    <w:rsid w:val="00BF3057"/>
    <w:rsid w:val="00BF320E"/>
    <w:rsid w:val="00BF6BAC"/>
    <w:rsid w:val="00BF7B48"/>
    <w:rsid w:val="00C06027"/>
    <w:rsid w:val="00C100CF"/>
    <w:rsid w:val="00C110F3"/>
    <w:rsid w:val="00C12250"/>
    <w:rsid w:val="00C124A2"/>
    <w:rsid w:val="00C128A5"/>
    <w:rsid w:val="00C12CA5"/>
    <w:rsid w:val="00C23066"/>
    <w:rsid w:val="00C24313"/>
    <w:rsid w:val="00C254AE"/>
    <w:rsid w:val="00C34553"/>
    <w:rsid w:val="00C3537E"/>
    <w:rsid w:val="00C36B47"/>
    <w:rsid w:val="00C419DC"/>
    <w:rsid w:val="00C43065"/>
    <w:rsid w:val="00C4354E"/>
    <w:rsid w:val="00C4555E"/>
    <w:rsid w:val="00C468C0"/>
    <w:rsid w:val="00C525C8"/>
    <w:rsid w:val="00C52E43"/>
    <w:rsid w:val="00C55633"/>
    <w:rsid w:val="00C556C1"/>
    <w:rsid w:val="00C629B7"/>
    <w:rsid w:val="00C633FF"/>
    <w:rsid w:val="00C81EE9"/>
    <w:rsid w:val="00C91AF6"/>
    <w:rsid w:val="00C92927"/>
    <w:rsid w:val="00C943D3"/>
    <w:rsid w:val="00CA024F"/>
    <w:rsid w:val="00CA5405"/>
    <w:rsid w:val="00CA6ED3"/>
    <w:rsid w:val="00CB72F8"/>
    <w:rsid w:val="00CC6D07"/>
    <w:rsid w:val="00CD19DC"/>
    <w:rsid w:val="00CD23C8"/>
    <w:rsid w:val="00CD39CE"/>
    <w:rsid w:val="00CD52D6"/>
    <w:rsid w:val="00CE4D9E"/>
    <w:rsid w:val="00CE63EC"/>
    <w:rsid w:val="00CF0443"/>
    <w:rsid w:val="00CF079A"/>
    <w:rsid w:val="00CF63FD"/>
    <w:rsid w:val="00CF66DA"/>
    <w:rsid w:val="00D00E79"/>
    <w:rsid w:val="00D01480"/>
    <w:rsid w:val="00D01B07"/>
    <w:rsid w:val="00D02E06"/>
    <w:rsid w:val="00D02F54"/>
    <w:rsid w:val="00D05B98"/>
    <w:rsid w:val="00D1098D"/>
    <w:rsid w:val="00D11A31"/>
    <w:rsid w:val="00D131D2"/>
    <w:rsid w:val="00D14627"/>
    <w:rsid w:val="00D16CB1"/>
    <w:rsid w:val="00D17A66"/>
    <w:rsid w:val="00D20658"/>
    <w:rsid w:val="00D220A6"/>
    <w:rsid w:val="00D225AF"/>
    <w:rsid w:val="00D262A3"/>
    <w:rsid w:val="00D26CFB"/>
    <w:rsid w:val="00D26DE5"/>
    <w:rsid w:val="00D279DB"/>
    <w:rsid w:val="00D31433"/>
    <w:rsid w:val="00D36A7A"/>
    <w:rsid w:val="00D42564"/>
    <w:rsid w:val="00D54361"/>
    <w:rsid w:val="00D55B0E"/>
    <w:rsid w:val="00D5696F"/>
    <w:rsid w:val="00D616A2"/>
    <w:rsid w:val="00D67AEC"/>
    <w:rsid w:val="00D714F6"/>
    <w:rsid w:val="00D75C1E"/>
    <w:rsid w:val="00D8081F"/>
    <w:rsid w:val="00DA0EDE"/>
    <w:rsid w:val="00DA1F18"/>
    <w:rsid w:val="00DA2272"/>
    <w:rsid w:val="00DA3D7E"/>
    <w:rsid w:val="00DB7AEA"/>
    <w:rsid w:val="00DC438E"/>
    <w:rsid w:val="00DC5C77"/>
    <w:rsid w:val="00DC6A90"/>
    <w:rsid w:val="00DC749A"/>
    <w:rsid w:val="00DC75DF"/>
    <w:rsid w:val="00DD05A1"/>
    <w:rsid w:val="00DD17F6"/>
    <w:rsid w:val="00DD5D9A"/>
    <w:rsid w:val="00DD724B"/>
    <w:rsid w:val="00DE0ABA"/>
    <w:rsid w:val="00DE1682"/>
    <w:rsid w:val="00DE18CF"/>
    <w:rsid w:val="00DE42CF"/>
    <w:rsid w:val="00DE5D45"/>
    <w:rsid w:val="00DF0D2E"/>
    <w:rsid w:val="00DF2138"/>
    <w:rsid w:val="00DF32A5"/>
    <w:rsid w:val="00DF3881"/>
    <w:rsid w:val="00E00F0E"/>
    <w:rsid w:val="00E00F94"/>
    <w:rsid w:val="00E0291B"/>
    <w:rsid w:val="00E03DB4"/>
    <w:rsid w:val="00E07E3B"/>
    <w:rsid w:val="00E10B7C"/>
    <w:rsid w:val="00E10D19"/>
    <w:rsid w:val="00E13F2C"/>
    <w:rsid w:val="00E1429A"/>
    <w:rsid w:val="00E14CBB"/>
    <w:rsid w:val="00E14EBA"/>
    <w:rsid w:val="00E1625D"/>
    <w:rsid w:val="00E21870"/>
    <w:rsid w:val="00E25AA7"/>
    <w:rsid w:val="00E2776F"/>
    <w:rsid w:val="00E35389"/>
    <w:rsid w:val="00E37A04"/>
    <w:rsid w:val="00E44444"/>
    <w:rsid w:val="00E47FDD"/>
    <w:rsid w:val="00E53131"/>
    <w:rsid w:val="00E56F0A"/>
    <w:rsid w:val="00E60493"/>
    <w:rsid w:val="00E61EA6"/>
    <w:rsid w:val="00E63664"/>
    <w:rsid w:val="00E72844"/>
    <w:rsid w:val="00E72FB1"/>
    <w:rsid w:val="00E75638"/>
    <w:rsid w:val="00E82629"/>
    <w:rsid w:val="00E826CF"/>
    <w:rsid w:val="00E85149"/>
    <w:rsid w:val="00E858FF"/>
    <w:rsid w:val="00E8682C"/>
    <w:rsid w:val="00E871DA"/>
    <w:rsid w:val="00E905E9"/>
    <w:rsid w:val="00E923A5"/>
    <w:rsid w:val="00E96CA1"/>
    <w:rsid w:val="00E9781A"/>
    <w:rsid w:val="00EA0954"/>
    <w:rsid w:val="00EA1C24"/>
    <w:rsid w:val="00EA236F"/>
    <w:rsid w:val="00EA2EEB"/>
    <w:rsid w:val="00EA39D9"/>
    <w:rsid w:val="00EA3DB1"/>
    <w:rsid w:val="00EA5EFB"/>
    <w:rsid w:val="00EB4A20"/>
    <w:rsid w:val="00EB4E25"/>
    <w:rsid w:val="00EC0604"/>
    <w:rsid w:val="00EC06C3"/>
    <w:rsid w:val="00EC5A41"/>
    <w:rsid w:val="00ED1E2F"/>
    <w:rsid w:val="00ED4699"/>
    <w:rsid w:val="00ED4C97"/>
    <w:rsid w:val="00ED64D9"/>
    <w:rsid w:val="00EE0909"/>
    <w:rsid w:val="00EE3753"/>
    <w:rsid w:val="00EE51E6"/>
    <w:rsid w:val="00EF06A9"/>
    <w:rsid w:val="00EF4303"/>
    <w:rsid w:val="00F034E6"/>
    <w:rsid w:val="00F03C53"/>
    <w:rsid w:val="00F068B3"/>
    <w:rsid w:val="00F070AD"/>
    <w:rsid w:val="00F0761B"/>
    <w:rsid w:val="00F11AAF"/>
    <w:rsid w:val="00F1400F"/>
    <w:rsid w:val="00F15399"/>
    <w:rsid w:val="00F169AC"/>
    <w:rsid w:val="00F25B74"/>
    <w:rsid w:val="00F36284"/>
    <w:rsid w:val="00F43226"/>
    <w:rsid w:val="00F54DA7"/>
    <w:rsid w:val="00F55388"/>
    <w:rsid w:val="00F56A02"/>
    <w:rsid w:val="00F57C79"/>
    <w:rsid w:val="00F629C4"/>
    <w:rsid w:val="00F62BD4"/>
    <w:rsid w:val="00F64103"/>
    <w:rsid w:val="00F70768"/>
    <w:rsid w:val="00F71129"/>
    <w:rsid w:val="00F76D7A"/>
    <w:rsid w:val="00F81000"/>
    <w:rsid w:val="00F81FA9"/>
    <w:rsid w:val="00F90269"/>
    <w:rsid w:val="00F90B40"/>
    <w:rsid w:val="00F9157E"/>
    <w:rsid w:val="00F9372F"/>
    <w:rsid w:val="00F97FA9"/>
    <w:rsid w:val="00FA494B"/>
    <w:rsid w:val="00FA5CAE"/>
    <w:rsid w:val="00FA6781"/>
    <w:rsid w:val="00FB22B9"/>
    <w:rsid w:val="00FB4754"/>
    <w:rsid w:val="00FB4D13"/>
    <w:rsid w:val="00FC24D8"/>
    <w:rsid w:val="00FC3086"/>
    <w:rsid w:val="00FD39FC"/>
    <w:rsid w:val="00FD71BF"/>
    <w:rsid w:val="00FD7E34"/>
    <w:rsid w:val="00FE4017"/>
    <w:rsid w:val="00FE49F0"/>
    <w:rsid w:val="00FE5706"/>
    <w:rsid w:val="00FE7E54"/>
    <w:rsid w:val="00FF1518"/>
    <w:rsid w:val="00FF220B"/>
    <w:rsid w:val="00FF48BB"/>
    <w:rsid w:val="00FF5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40E8"/>
  <w15:chartTrackingRefBased/>
  <w15:docId w15:val="{4B653218-2B89-490C-990F-AC187B72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C0"/>
  </w:style>
  <w:style w:type="paragraph" w:styleId="Heading1">
    <w:name w:val="heading 1"/>
    <w:basedOn w:val="Normal"/>
    <w:next w:val="Normal"/>
    <w:link w:val="Heading1Char"/>
    <w:uiPriority w:val="9"/>
    <w:qFormat/>
    <w:rsid w:val="00BD57F3"/>
    <w:pPr>
      <w:keepNext/>
      <w:keepLines/>
      <w:spacing w:before="360" w:after="40" w:line="240" w:lineRule="auto"/>
      <w:outlineLvl w:val="0"/>
    </w:pPr>
    <w:rPr>
      <w:rFonts w:ascii="Arial" w:eastAsiaTheme="majorEastAsia" w:hAnsi="Arial" w:cstheme="majorBidi"/>
      <w:color w:val="002060"/>
      <w:sz w:val="40"/>
      <w:szCs w:val="40"/>
    </w:rPr>
  </w:style>
  <w:style w:type="paragraph" w:styleId="Heading2">
    <w:name w:val="heading 2"/>
    <w:basedOn w:val="Normal"/>
    <w:next w:val="Normal"/>
    <w:link w:val="Heading2Char"/>
    <w:uiPriority w:val="9"/>
    <w:unhideWhenUsed/>
    <w:qFormat/>
    <w:rsid w:val="00C468C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C468C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C468C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C468C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C468C0"/>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C468C0"/>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C468C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C468C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7F3"/>
    <w:rPr>
      <w:rFonts w:ascii="Arial" w:eastAsiaTheme="majorEastAsia" w:hAnsi="Arial" w:cstheme="majorBidi"/>
      <w:color w:val="002060"/>
      <w:sz w:val="40"/>
      <w:szCs w:val="40"/>
    </w:rPr>
  </w:style>
  <w:style w:type="paragraph" w:styleId="Title">
    <w:name w:val="Title"/>
    <w:basedOn w:val="Normal"/>
    <w:next w:val="Normal"/>
    <w:link w:val="TitleChar"/>
    <w:uiPriority w:val="10"/>
    <w:qFormat/>
    <w:rsid w:val="00C468C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C468C0"/>
    <w:rPr>
      <w:rFonts w:asciiTheme="majorHAnsi" w:eastAsiaTheme="majorEastAsia" w:hAnsiTheme="majorHAnsi" w:cstheme="majorBidi"/>
      <w:color w:val="262626" w:themeColor="text1" w:themeTint="D9"/>
      <w:spacing w:val="-15"/>
      <w:sz w:val="96"/>
      <w:szCs w:val="96"/>
    </w:rPr>
  </w:style>
  <w:style w:type="table" w:styleId="TableGrid">
    <w:name w:val="Table Grid"/>
    <w:basedOn w:val="TableNormal"/>
    <w:uiPriority w:val="39"/>
    <w:rsid w:val="00E4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68C0"/>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C468C0"/>
    <w:rPr>
      <w:rFonts w:asciiTheme="majorHAnsi" w:eastAsiaTheme="majorEastAsia" w:hAnsiTheme="majorHAnsi" w:cstheme="majorBidi"/>
      <w:color w:val="538135" w:themeColor="accent6" w:themeShade="BF"/>
      <w:sz w:val="24"/>
      <w:szCs w:val="24"/>
    </w:rPr>
  </w:style>
  <w:style w:type="character" w:customStyle="1" w:styleId="markedcontent">
    <w:name w:val="markedcontent"/>
    <w:basedOn w:val="DefaultParagraphFont"/>
    <w:rsid w:val="009564DE"/>
  </w:style>
  <w:style w:type="paragraph" w:styleId="ListParagraph">
    <w:name w:val="List Paragraph"/>
    <w:basedOn w:val="Normal"/>
    <w:uiPriority w:val="34"/>
    <w:qFormat/>
    <w:rsid w:val="009564DE"/>
    <w:pPr>
      <w:ind w:left="720"/>
      <w:contextualSpacing/>
    </w:pPr>
  </w:style>
  <w:style w:type="character" w:styleId="CommentReference">
    <w:name w:val="annotation reference"/>
    <w:basedOn w:val="DefaultParagraphFont"/>
    <w:uiPriority w:val="99"/>
    <w:semiHidden/>
    <w:unhideWhenUsed/>
    <w:rsid w:val="009564DE"/>
    <w:rPr>
      <w:sz w:val="16"/>
      <w:szCs w:val="16"/>
    </w:rPr>
  </w:style>
  <w:style w:type="paragraph" w:styleId="CommentText">
    <w:name w:val="annotation text"/>
    <w:basedOn w:val="Normal"/>
    <w:link w:val="CommentTextChar"/>
    <w:uiPriority w:val="99"/>
    <w:unhideWhenUsed/>
    <w:rsid w:val="009564DE"/>
    <w:pPr>
      <w:spacing w:line="240" w:lineRule="auto"/>
    </w:pPr>
    <w:rPr>
      <w:sz w:val="20"/>
      <w:szCs w:val="20"/>
    </w:rPr>
  </w:style>
  <w:style w:type="character" w:customStyle="1" w:styleId="CommentTextChar">
    <w:name w:val="Comment Text Char"/>
    <w:basedOn w:val="DefaultParagraphFont"/>
    <w:link w:val="CommentText"/>
    <w:uiPriority w:val="99"/>
    <w:rsid w:val="009564DE"/>
    <w:rPr>
      <w:sz w:val="20"/>
      <w:szCs w:val="20"/>
    </w:rPr>
  </w:style>
  <w:style w:type="paragraph" w:styleId="CommentSubject">
    <w:name w:val="annotation subject"/>
    <w:basedOn w:val="CommentText"/>
    <w:next w:val="CommentText"/>
    <w:link w:val="CommentSubjectChar"/>
    <w:uiPriority w:val="99"/>
    <w:semiHidden/>
    <w:unhideWhenUsed/>
    <w:rsid w:val="009564DE"/>
    <w:rPr>
      <w:b/>
      <w:bCs/>
    </w:rPr>
  </w:style>
  <w:style w:type="character" w:customStyle="1" w:styleId="CommentSubjectChar">
    <w:name w:val="Comment Subject Char"/>
    <w:basedOn w:val="CommentTextChar"/>
    <w:link w:val="CommentSubject"/>
    <w:uiPriority w:val="99"/>
    <w:semiHidden/>
    <w:rsid w:val="009564DE"/>
    <w:rPr>
      <w:b/>
      <w:bCs/>
      <w:sz w:val="20"/>
      <w:szCs w:val="20"/>
    </w:rPr>
  </w:style>
  <w:style w:type="paragraph" w:styleId="Header">
    <w:name w:val="header"/>
    <w:basedOn w:val="Normal"/>
    <w:link w:val="HeaderChar"/>
    <w:uiPriority w:val="99"/>
    <w:unhideWhenUsed/>
    <w:rsid w:val="00D67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AEC"/>
  </w:style>
  <w:style w:type="paragraph" w:styleId="Footer">
    <w:name w:val="footer"/>
    <w:basedOn w:val="Normal"/>
    <w:link w:val="FooterChar"/>
    <w:uiPriority w:val="99"/>
    <w:unhideWhenUsed/>
    <w:rsid w:val="00D67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AEC"/>
  </w:style>
  <w:style w:type="paragraph" w:styleId="TOC1">
    <w:name w:val="toc 1"/>
    <w:basedOn w:val="Normal"/>
    <w:next w:val="Normal"/>
    <w:autoRedefine/>
    <w:uiPriority w:val="39"/>
    <w:unhideWhenUsed/>
    <w:rsid w:val="00B82E1F"/>
    <w:pPr>
      <w:tabs>
        <w:tab w:val="right" w:leader="dot" w:pos="9629"/>
      </w:tabs>
      <w:spacing w:after="100"/>
    </w:pPr>
  </w:style>
  <w:style w:type="paragraph" w:styleId="TOC2">
    <w:name w:val="toc 2"/>
    <w:basedOn w:val="Normal"/>
    <w:next w:val="Normal"/>
    <w:autoRedefine/>
    <w:uiPriority w:val="39"/>
    <w:unhideWhenUsed/>
    <w:rsid w:val="007546C9"/>
    <w:pPr>
      <w:spacing w:after="100"/>
      <w:ind w:left="220"/>
    </w:pPr>
  </w:style>
  <w:style w:type="character" w:styleId="Hyperlink">
    <w:name w:val="Hyperlink"/>
    <w:basedOn w:val="DefaultParagraphFont"/>
    <w:uiPriority w:val="99"/>
    <w:unhideWhenUsed/>
    <w:rsid w:val="007546C9"/>
    <w:rPr>
      <w:color w:val="0563C1" w:themeColor="hyperlink"/>
      <w:u w:val="single"/>
    </w:rPr>
  </w:style>
  <w:style w:type="character" w:styleId="UnresolvedMention">
    <w:name w:val="Unresolved Mention"/>
    <w:basedOn w:val="DefaultParagraphFont"/>
    <w:uiPriority w:val="99"/>
    <w:semiHidden/>
    <w:unhideWhenUsed/>
    <w:rsid w:val="005F24F1"/>
    <w:rPr>
      <w:color w:val="605E5C"/>
      <w:shd w:val="clear" w:color="auto" w:fill="E1DFDD"/>
    </w:rPr>
  </w:style>
  <w:style w:type="paragraph" w:styleId="Subtitle">
    <w:name w:val="Subtitle"/>
    <w:basedOn w:val="Normal"/>
    <w:next w:val="Normal"/>
    <w:link w:val="SubtitleChar"/>
    <w:uiPriority w:val="11"/>
    <w:qFormat/>
    <w:rsid w:val="00C468C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C468C0"/>
    <w:rPr>
      <w:rFonts w:asciiTheme="majorHAnsi" w:eastAsiaTheme="majorEastAsia" w:hAnsiTheme="majorHAnsi" w:cstheme="majorBidi"/>
      <w:sz w:val="30"/>
      <w:szCs w:val="30"/>
    </w:rPr>
  </w:style>
  <w:style w:type="paragraph" w:customStyle="1" w:styleId="Default">
    <w:name w:val="Default"/>
    <w:rsid w:val="00823502"/>
    <w:pPr>
      <w:autoSpaceDE w:val="0"/>
      <w:autoSpaceDN w:val="0"/>
      <w:adjustRightInd w:val="0"/>
      <w:spacing w:after="0" w:line="240" w:lineRule="auto"/>
    </w:pPr>
    <w:rPr>
      <w:rFonts w:ascii="VIC" w:hAnsi="VIC" w:cs="VIC"/>
      <w:color w:val="000000"/>
      <w:sz w:val="24"/>
      <w:szCs w:val="24"/>
    </w:rPr>
  </w:style>
  <w:style w:type="paragraph" w:customStyle="1" w:styleId="Tabletext">
    <w:name w:val="Table text"/>
    <w:basedOn w:val="Normal"/>
    <w:rsid w:val="006B6009"/>
    <w:pPr>
      <w:autoSpaceDE w:val="0"/>
      <w:autoSpaceDN w:val="0"/>
      <w:adjustRightInd w:val="0"/>
      <w:spacing w:before="60" w:after="60" w:line="240" w:lineRule="auto"/>
      <w:textAlignment w:val="center"/>
    </w:pPr>
    <w:rPr>
      <w:rFonts w:ascii="Arial" w:hAnsi="Arial" w:cs="Arial"/>
      <w:color w:val="000000"/>
      <w:sz w:val="18"/>
      <w:szCs w:val="18"/>
      <w:lang w:val="en-US"/>
    </w:rPr>
  </w:style>
  <w:style w:type="character" w:customStyle="1" w:styleId="Heading4Char">
    <w:name w:val="Heading 4 Char"/>
    <w:basedOn w:val="DefaultParagraphFont"/>
    <w:link w:val="Heading4"/>
    <w:uiPriority w:val="9"/>
    <w:rsid w:val="00C468C0"/>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C468C0"/>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C468C0"/>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C468C0"/>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C468C0"/>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C468C0"/>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C468C0"/>
    <w:pPr>
      <w:spacing w:line="240" w:lineRule="auto"/>
    </w:pPr>
    <w:rPr>
      <w:b/>
      <w:bCs/>
      <w:smallCaps/>
      <w:color w:val="595959" w:themeColor="text1" w:themeTint="A6"/>
    </w:rPr>
  </w:style>
  <w:style w:type="character" w:styleId="Strong">
    <w:name w:val="Strong"/>
    <w:basedOn w:val="DefaultParagraphFont"/>
    <w:uiPriority w:val="22"/>
    <w:qFormat/>
    <w:rsid w:val="00C468C0"/>
    <w:rPr>
      <w:b/>
      <w:bCs/>
    </w:rPr>
  </w:style>
  <w:style w:type="character" w:styleId="Emphasis">
    <w:name w:val="Emphasis"/>
    <w:basedOn w:val="DefaultParagraphFont"/>
    <w:uiPriority w:val="20"/>
    <w:qFormat/>
    <w:rsid w:val="00C468C0"/>
    <w:rPr>
      <w:i/>
      <w:iCs/>
      <w:color w:val="70AD47" w:themeColor="accent6"/>
    </w:rPr>
  </w:style>
  <w:style w:type="paragraph" w:styleId="NoSpacing">
    <w:name w:val="No Spacing"/>
    <w:uiPriority w:val="1"/>
    <w:qFormat/>
    <w:rsid w:val="00C468C0"/>
    <w:pPr>
      <w:spacing w:after="0" w:line="240" w:lineRule="auto"/>
    </w:pPr>
  </w:style>
  <w:style w:type="paragraph" w:styleId="Quote">
    <w:name w:val="Quote"/>
    <w:basedOn w:val="Normal"/>
    <w:next w:val="Normal"/>
    <w:link w:val="QuoteChar"/>
    <w:uiPriority w:val="29"/>
    <w:qFormat/>
    <w:rsid w:val="00C468C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C468C0"/>
    <w:rPr>
      <w:i/>
      <w:iCs/>
      <w:color w:val="262626" w:themeColor="text1" w:themeTint="D9"/>
    </w:rPr>
  </w:style>
  <w:style w:type="paragraph" w:styleId="IntenseQuote">
    <w:name w:val="Intense Quote"/>
    <w:basedOn w:val="Normal"/>
    <w:next w:val="Normal"/>
    <w:link w:val="IntenseQuoteChar"/>
    <w:uiPriority w:val="30"/>
    <w:qFormat/>
    <w:rsid w:val="00C468C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C468C0"/>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C468C0"/>
    <w:rPr>
      <w:i/>
      <w:iCs/>
    </w:rPr>
  </w:style>
  <w:style w:type="character" w:styleId="IntenseEmphasis">
    <w:name w:val="Intense Emphasis"/>
    <w:basedOn w:val="DefaultParagraphFont"/>
    <w:uiPriority w:val="21"/>
    <w:qFormat/>
    <w:rsid w:val="00C468C0"/>
    <w:rPr>
      <w:b/>
      <w:bCs/>
      <w:i/>
      <w:iCs/>
    </w:rPr>
  </w:style>
  <w:style w:type="character" w:styleId="SubtleReference">
    <w:name w:val="Subtle Reference"/>
    <w:basedOn w:val="DefaultParagraphFont"/>
    <w:uiPriority w:val="31"/>
    <w:qFormat/>
    <w:rsid w:val="00C468C0"/>
    <w:rPr>
      <w:smallCaps/>
      <w:color w:val="595959" w:themeColor="text1" w:themeTint="A6"/>
    </w:rPr>
  </w:style>
  <w:style w:type="character" w:styleId="IntenseReference">
    <w:name w:val="Intense Reference"/>
    <w:basedOn w:val="DefaultParagraphFont"/>
    <w:uiPriority w:val="32"/>
    <w:qFormat/>
    <w:rsid w:val="00C468C0"/>
    <w:rPr>
      <w:b/>
      <w:bCs/>
      <w:smallCaps/>
      <w:color w:val="70AD47" w:themeColor="accent6"/>
    </w:rPr>
  </w:style>
  <w:style w:type="character" w:styleId="BookTitle">
    <w:name w:val="Book Title"/>
    <w:basedOn w:val="DefaultParagraphFont"/>
    <w:uiPriority w:val="33"/>
    <w:qFormat/>
    <w:rsid w:val="00C468C0"/>
    <w:rPr>
      <w:b/>
      <w:bCs/>
      <w:caps w:val="0"/>
      <w:smallCaps/>
      <w:spacing w:val="7"/>
      <w:sz w:val="21"/>
      <w:szCs w:val="21"/>
    </w:rPr>
  </w:style>
  <w:style w:type="paragraph" w:styleId="TOCHeading">
    <w:name w:val="TOC Heading"/>
    <w:basedOn w:val="Heading1"/>
    <w:next w:val="Normal"/>
    <w:uiPriority w:val="39"/>
    <w:semiHidden/>
    <w:unhideWhenUsed/>
    <w:qFormat/>
    <w:rsid w:val="00C468C0"/>
    <w:pPr>
      <w:outlineLvl w:val="9"/>
    </w:pPr>
  </w:style>
  <w:style w:type="paragraph" w:styleId="Revision">
    <w:name w:val="Revision"/>
    <w:hidden/>
    <w:uiPriority w:val="99"/>
    <w:semiHidden/>
    <w:rsid w:val="00A118E9"/>
    <w:pPr>
      <w:spacing w:after="0" w:line="240" w:lineRule="auto"/>
    </w:pPr>
  </w:style>
  <w:style w:type="character" w:styleId="FollowedHyperlink">
    <w:name w:val="FollowedHyperlink"/>
    <w:basedOn w:val="DefaultParagraphFont"/>
    <w:uiPriority w:val="99"/>
    <w:semiHidden/>
    <w:unhideWhenUsed/>
    <w:rsid w:val="008C77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41548">
      <w:bodyDiv w:val="1"/>
      <w:marLeft w:val="0"/>
      <w:marRight w:val="0"/>
      <w:marTop w:val="0"/>
      <w:marBottom w:val="0"/>
      <w:divBdr>
        <w:top w:val="none" w:sz="0" w:space="0" w:color="auto"/>
        <w:left w:val="none" w:sz="0" w:space="0" w:color="auto"/>
        <w:bottom w:val="none" w:sz="0" w:space="0" w:color="auto"/>
        <w:right w:val="none" w:sz="0" w:space="0" w:color="auto"/>
      </w:divBdr>
    </w:div>
    <w:div w:id="451483193">
      <w:bodyDiv w:val="1"/>
      <w:marLeft w:val="0"/>
      <w:marRight w:val="0"/>
      <w:marTop w:val="0"/>
      <w:marBottom w:val="0"/>
      <w:divBdr>
        <w:top w:val="none" w:sz="0" w:space="0" w:color="auto"/>
        <w:left w:val="none" w:sz="0" w:space="0" w:color="auto"/>
        <w:bottom w:val="none" w:sz="0" w:space="0" w:color="auto"/>
        <w:right w:val="none" w:sz="0" w:space="0" w:color="auto"/>
      </w:divBdr>
    </w:div>
    <w:div w:id="868689914">
      <w:bodyDiv w:val="1"/>
      <w:marLeft w:val="0"/>
      <w:marRight w:val="0"/>
      <w:marTop w:val="0"/>
      <w:marBottom w:val="0"/>
      <w:divBdr>
        <w:top w:val="none" w:sz="0" w:space="0" w:color="auto"/>
        <w:left w:val="none" w:sz="0" w:space="0" w:color="auto"/>
        <w:bottom w:val="none" w:sz="0" w:space="0" w:color="auto"/>
        <w:right w:val="none" w:sz="0" w:space="0" w:color="auto"/>
      </w:divBdr>
    </w:div>
    <w:div w:id="1481774095">
      <w:bodyDiv w:val="1"/>
      <w:marLeft w:val="0"/>
      <w:marRight w:val="0"/>
      <w:marTop w:val="0"/>
      <w:marBottom w:val="0"/>
      <w:divBdr>
        <w:top w:val="none" w:sz="0" w:space="0" w:color="auto"/>
        <w:left w:val="none" w:sz="0" w:space="0" w:color="auto"/>
        <w:bottom w:val="none" w:sz="0" w:space="0" w:color="auto"/>
        <w:right w:val="none" w:sz="0" w:space="0" w:color="auto"/>
      </w:divBdr>
    </w:div>
    <w:div w:id="1696691240">
      <w:bodyDiv w:val="1"/>
      <w:marLeft w:val="0"/>
      <w:marRight w:val="0"/>
      <w:marTop w:val="0"/>
      <w:marBottom w:val="0"/>
      <w:divBdr>
        <w:top w:val="none" w:sz="0" w:space="0" w:color="auto"/>
        <w:left w:val="none" w:sz="0" w:space="0" w:color="auto"/>
        <w:bottom w:val="none" w:sz="0" w:space="0" w:color="auto"/>
        <w:right w:val="none" w:sz="0" w:space="0" w:color="auto"/>
      </w:divBdr>
    </w:div>
    <w:div w:id="202906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ra.gov.au/en/economic-analysi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a.gov.au/en/economic-analysis/tourism-satellite-accou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statistics/economy/national-accounts/tourism-satellite-account/latest-releas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ecodev.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2745D0D62BB4CBE615C53BB2573B6" ma:contentTypeVersion="18" ma:contentTypeDescription="Create a new document." ma:contentTypeScope="" ma:versionID="2ee1eb37c4b2c5cdd88ac023890c85e8">
  <xsd:schema xmlns:xsd="http://www.w3.org/2001/XMLSchema" xmlns:xs="http://www.w3.org/2001/XMLSchema" xmlns:p="http://schemas.microsoft.com/office/2006/metadata/properties" xmlns:ns3="e3bdabea-82a2-4143-bd65-9e3f2a9c3d95" xmlns:ns4="3f0e5c84-addc-4729-bf71-f12ce748017c" targetNamespace="http://schemas.microsoft.com/office/2006/metadata/properties" ma:root="true" ma:fieldsID="ec3af7705a3effef67e3542adb8ebbbe" ns3:_="" ns4:_="">
    <xsd:import namespace="e3bdabea-82a2-4143-bd65-9e3f2a9c3d95"/>
    <xsd:import namespace="3f0e5c84-addc-4729-bf71-f12ce74801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dabea-82a2-4143-bd65-9e3f2a9c3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0e5c84-addc-4729-bf71-f12ce74801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e3bdabea-82a2-4143-bd65-9e3f2a9c3d95" xsi:nil="true"/>
  </documentManagement>
</p:properties>
</file>

<file path=customXml/itemProps1.xml><?xml version="1.0" encoding="utf-8"?>
<ds:datastoreItem xmlns:ds="http://schemas.openxmlformats.org/officeDocument/2006/customXml" ds:itemID="{F9824377-CA17-4D6A-A688-410DA607E22C}">
  <ds:schemaRefs>
    <ds:schemaRef ds:uri="http://schemas.microsoft.com/sharepoint/v3/contenttype/forms"/>
  </ds:schemaRefs>
</ds:datastoreItem>
</file>

<file path=customXml/itemProps2.xml><?xml version="1.0" encoding="utf-8"?>
<ds:datastoreItem xmlns:ds="http://schemas.openxmlformats.org/officeDocument/2006/customXml" ds:itemID="{406C9A13-D0BD-42AA-8165-EDC680EB1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dabea-82a2-4143-bd65-9e3f2a9c3d95"/>
    <ds:schemaRef ds:uri="3f0e5c84-addc-4729-bf71-f12ce74801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A6659-48F6-45E6-A2A3-112FB9796E00}">
  <ds:schemaRefs>
    <ds:schemaRef ds:uri="http://schemas.openxmlformats.org/officeDocument/2006/bibliography"/>
  </ds:schemaRefs>
</ds:datastoreItem>
</file>

<file path=customXml/itemProps4.xml><?xml version="1.0" encoding="utf-8"?>
<ds:datastoreItem xmlns:ds="http://schemas.openxmlformats.org/officeDocument/2006/customXml" ds:itemID="{2946F3E0-0BE9-4284-BA08-12E0134A69AF}">
  <ds:schemaRefs>
    <ds:schemaRef ds:uri="http://schemas.microsoft.com/office/2006/metadata/properties"/>
    <ds:schemaRef ds:uri="http://schemas.microsoft.com/office/infopath/2007/PartnerControls"/>
    <ds:schemaRef ds:uri="e3bdabea-82a2-4143-bd65-9e3f2a9c3d9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7284</Words>
  <Characters>41520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Economic contribution of tourism to Victoria 2023-24</vt:lpstr>
    </vt:vector>
  </TitlesOfParts>
  <Company/>
  <LinksUpToDate>false</LinksUpToDate>
  <CharactersWithSpaces>48707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contribution of tourism to Victoria 2023-24</dc:title>
  <dc:subject/>
  <dc:creator>Maria G Camillo (DJSIR)</dc:creator>
  <cp:keywords/>
  <dc:description/>
  <cp:lastModifiedBy>Jacinta M Hurst (DJSIR)</cp:lastModifiedBy>
  <cp:revision>2</cp:revision>
  <dcterms:created xsi:type="dcterms:W3CDTF">2025-04-08T05:00:00Z</dcterms:created>
  <dcterms:modified xsi:type="dcterms:W3CDTF">2025-04-08T05:00:00Z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0x0101004D82745D0D62BB4CBE615C53BB2573B6</vt:lpwstr>
  </property>
  <property fmtid="{D5CDD505-2E9C-101B-9397-08002B2CF9AE}" pid="3" name="MSIP_Label_d00a4df9-c942-4b09-b23a-6c1023f6de27_Enabled">
    <vt:lpwstr>true</vt:lpwstr>
  </property>
  <property fmtid="{D5CDD505-2E9C-101B-9397-08002B2CF9AE}" pid="4" name="MSIP_Label_d00a4df9-c942-4b09-b23a-6c1023f6de27_SetDate">
    <vt:lpwstr>2024-04-26T00:51:06Z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39d9ebc5-0afc-4000-9f07-c34042c51c10</vt:lpwstr>
  </property>
  <property fmtid="{D5CDD505-2E9C-101B-9397-08002B2CF9AE}" pid="9" name="MSIP_Label_d00a4df9-c942-4b09-b23a-6c1023f6de27_ContentBits">
    <vt:lpwstr>3</vt:lpwstr>
  </property>
</Properties>
</file>